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BB96" w14:textId="407AC0DF" w:rsidR="00C6147D" w:rsidRPr="001E5FF8" w:rsidRDefault="00C6147D" w:rsidP="001E5FF8">
      <w:pPr>
        <w:spacing w:after="0" w:line="240" w:lineRule="auto"/>
        <w:jc w:val="both"/>
        <w:rPr>
          <w:rFonts w:ascii="Times New Roman" w:hAnsi="Times New Roman" w:cs="Times New Roman"/>
          <w:b/>
          <w:bCs/>
          <w:color w:val="1F497D"/>
          <w:sz w:val="30"/>
          <w:szCs w:val="30"/>
        </w:rPr>
      </w:pPr>
      <w:r w:rsidRPr="001E5FF8">
        <w:rPr>
          <w:rFonts w:ascii="Times New Roman" w:hAnsi="Times New Roman" w:cs="Times New Roman"/>
          <w:b/>
          <w:bCs/>
          <w:color w:val="1F497D"/>
          <w:sz w:val="30"/>
          <w:szCs w:val="30"/>
        </w:rPr>
        <w:t xml:space="preserve">Investigating the </w:t>
      </w:r>
      <w:r w:rsidR="000F4879" w:rsidRPr="001E5FF8">
        <w:rPr>
          <w:rFonts w:ascii="Times New Roman" w:hAnsi="Times New Roman" w:cs="Times New Roman"/>
          <w:b/>
          <w:bCs/>
          <w:color w:val="1F497D"/>
          <w:sz w:val="30"/>
          <w:szCs w:val="30"/>
        </w:rPr>
        <w:t>Factors Influencing Intermediaries’ Performance</w:t>
      </w:r>
      <w:r w:rsidRPr="001E5FF8">
        <w:rPr>
          <w:rFonts w:ascii="Times New Roman" w:hAnsi="Times New Roman" w:cs="Times New Roman"/>
          <w:b/>
          <w:bCs/>
          <w:color w:val="1F497D"/>
          <w:sz w:val="30"/>
          <w:szCs w:val="30"/>
        </w:rPr>
        <w:t>: An Empirical Study Using Factor</w:t>
      </w:r>
      <w:r w:rsidR="00114CC6">
        <w:rPr>
          <w:rFonts w:ascii="Times New Roman" w:hAnsi="Times New Roman" w:cs="Times New Roman"/>
          <w:b/>
          <w:bCs/>
          <w:color w:val="1F497D"/>
          <w:sz w:val="30"/>
          <w:szCs w:val="30"/>
        </w:rPr>
        <w:t xml:space="preserve"> </w:t>
      </w:r>
      <w:r w:rsidR="00114CC6" w:rsidRPr="00E3511C">
        <w:rPr>
          <w:rFonts w:ascii="Times New Roman" w:hAnsi="Times New Roman" w:cs="Times New Roman"/>
          <w:b/>
          <w:bCs/>
          <w:color w:val="1F4E79" w:themeColor="accent5" w:themeShade="80"/>
          <w:sz w:val="30"/>
          <w:szCs w:val="30"/>
        </w:rPr>
        <w:t>Analysis</w:t>
      </w:r>
      <w:r w:rsidRPr="001E5FF8">
        <w:rPr>
          <w:rFonts w:ascii="Times New Roman" w:hAnsi="Times New Roman" w:cs="Times New Roman"/>
          <w:b/>
          <w:bCs/>
          <w:color w:val="1F497D"/>
          <w:sz w:val="30"/>
          <w:szCs w:val="30"/>
        </w:rPr>
        <w:t xml:space="preserve"> and Structural Equation Modelling</w:t>
      </w:r>
    </w:p>
    <w:p w14:paraId="6F782D2E" w14:textId="77777777" w:rsidR="001E5FF8" w:rsidRPr="001E5FF8" w:rsidRDefault="001E5FF8" w:rsidP="001E5FF8">
      <w:pPr>
        <w:spacing w:after="0" w:line="240" w:lineRule="auto"/>
        <w:jc w:val="both"/>
        <w:rPr>
          <w:rFonts w:ascii="Times New Roman" w:hAnsi="Times New Roman" w:cs="Times New Roman"/>
          <w:b/>
          <w:bCs/>
          <w:color w:val="1F497D"/>
          <w:sz w:val="20"/>
          <w:szCs w:val="20"/>
        </w:rPr>
      </w:pPr>
    </w:p>
    <w:p w14:paraId="5323D108" w14:textId="74951451" w:rsidR="001E5FF8" w:rsidRPr="001E5FF8" w:rsidRDefault="002E6952" w:rsidP="001E5FF8">
      <w:pPr>
        <w:pStyle w:val="NoSpacing"/>
        <w:jc w:val="both"/>
        <w:rPr>
          <w:rFonts w:ascii="Times New Roman" w:hAnsi="Times New Roman" w:cs="Times New Roman"/>
          <w:b/>
          <w:bCs/>
          <w:color w:val="1F497D"/>
          <w:sz w:val="20"/>
          <w:szCs w:val="20"/>
          <w:vertAlign w:val="superscript"/>
          <w:lang w:val="sv-SE"/>
        </w:rPr>
      </w:pPr>
      <w:r w:rsidRPr="001E5FF8">
        <w:rPr>
          <w:rFonts w:ascii="Times New Roman" w:hAnsi="Times New Roman" w:cs="Times New Roman"/>
          <w:b/>
          <w:bCs/>
          <w:color w:val="1F497D"/>
          <w:sz w:val="20"/>
          <w:szCs w:val="20"/>
          <w:lang w:val="sv-SE"/>
        </w:rPr>
        <w:t>Anjali Patel</w:t>
      </w:r>
      <w:r w:rsidR="001E5FF8">
        <w:rPr>
          <w:rFonts w:ascii="Times New Roman" w:hAnsi="Times New Roman" w:cs="Times New Roman"/>
          <w:b/>
          <w:bCs/>
          <w:color w:val="1F497D"/>
          <w:sz w:val="20"/>
          <w:szCs w:val="20"/>
          <w:vertAlign w:val="superscript"/>
          <w:lang w:val="sv-SE"/>
        </w:rPr>
        <w:t>1*</w:t>
      </w:r>
      <w:r w:rsidR="00CA7FC6">
        <w:rPr>
          <w:rFonts w:ascii="Times New Roman" w:hAnsi="Times New Roman" w:cs="Times New Roman"/>
          <w:b/>
          <w:bCs/>
          <w:color w:val="1F497D"/>
          <w:sz w:val="20"/>
          <w:szCs w:val="20"/>
          <w:lang w:val="sv-SE"/>
        </w:rPr>
        <w:t xml:space="preserve"> and </w:t>
      </w:r>
      <w:r w:rsidR="001E5FF8" w:rsidRPr="001E5FF8">
        <w:rPr>
          <w:rFonts w:ascii="Times New Roman" w:hAnsi="Times New Roman" w:cs="Times New Roman"/>
          <w:b/>
          <w:bCs/>
          <w:color w:val="1F497D"/>
          <w:sz w:val="20"/>
          <w:szCs w:val="20"/>
          <w:lang w:val="sv-SE"/>
        </w:rPr>
        <w:t>Prof. (Dr.) Kedar Shukla</w:t>
      </w:r>
      <w:r w:rsidR="001E5FF8">
        <w:rPr>
          <w:rFonts w:ascii="Times New Roman" w:hAnsi="Times New Roman" w:cs="Times New Roman"/>
          <w:b/>
          <w:bCs/>
          <w:color w:val="1F497D"/>
          <w:sz w:val="20"/>
          <w:szCs w:val="20"/>
          <w:vertAlign w:val="superscript"/>
          <w:lang w:val="sv-SE"/>
        </w:rPr>
        <w:t>2</w:t>
      </w:r>
    </w:p>
    <w:p w14:paraId="63701E6C" w14:textId="2016F39A" w:rsidR="002E6952" w:rsidRPr="001E5FF8" w:rsidRDefault="002E6952" w:rsidP="001E5FF8">
      <w:pPr>
        <w:spacing w:after="0" w:line="240" w:lineRule="auto"/>
        <w:jc w:val="both"/>
        <w:rPr>
          <w:rFonts w:ascii="Times New Roman" w:hAnsi="Times New Roman" w:cs="Times New Roman"/>
          <w:b/>
          <w:bCs/>
          <w:color w:val="1F497D"/>
          <w:sz w:val="20"/>
          <w:szCs w:val="20"/>
          <w:lang w:val="sv-SE"/>
        </w:rPr>
      </w:pPr>
    </w:p>
    <w:p w14:paraId="29B74514" w14:textId="11BC5987" w:rsidR="001E5FF8" w:rsidRPr="00E3511C" w:rsidRDefault="001E5FF8" w:rsidP="001E5FF8">
      <w:pPr>
        <w:spacing w:after="0" w:line="240" w:lineRule="auto"/>
        <w:jc w:val="both"/>
        <w:rPr>
          <w:rFonts w:ascii="Times New Roman" w:hAnsi="Times New Roman" w:cs="Times New Roman"/>
          <w:color w:val="1F4E79" w:themeColor="accent5" w:themeShade="80"/>
          <w:sz w:val="20"/>
          <w:szCs w:val="20"/>
        </w:rPr>
      </w:pPr>
      <w:r>
        <w:rPr>
          <w:rFonts w:ascii="Times New Roman" w:hAnsi="Times New Roman" w:cs="Times New Roman"/>
          <w:color w:val="1F497D"/>
          <w:sz w:val="20"/>
          <w:szCs w:val="20"/>
          <w:vertAlign w:val="superscript"/>
        </w:rPr>
        <w:t>1*</w:t>
      </w:r>
      <w:r w:rsidR="002E6952" w:rsidRPr="001E5FF8">
        <w:rPr>
          <w:rFonts w:ascii="Times New Roman" w:hAnsi="Times New Roman" w:cs="Times New Roman"/>
          <w:color w:val="1F497D"/>
          <w:sz w:val="20"/>
          <w:szCs w:val="20"/>
        </w:rPr>
        <w:t>Research Scholar</w:t>
      </w:r>
      <w:r w:rsidR="00114CC6" w:rsidRPr="00E3511C">
        <w:rPr>
          <w:rFonts w:ascii="Times New Roman" w:hAnsi="Times New Roman" w:cs="Times New Roman"/>
          <w:color w:val="1F4E79" w:themeColor="accent5" w:themeShade="80"/>
          <w:sz w:val="20"/>
          <w:szCs w:val="20"/>
        </w:rPr>
        <w:t>,</w:t>
      </w:r>
      <w:r w:rsidRPr="001E5FF8">
        <w:rPr>
          <w:rFonts w:ascii="Times New Roman" w:hAnsi="Times New Roman" w:cs="Times New Roman"/>
          <w:color w:val="1F497D"/>
          <w:sz w:val="20"/>
          <w:szCs w:val="20"/>
        </w:rPr>
        <w:t xml:space="preserve"> Gujarat Technological University</w:t>
      </w:r>
      <w:r w:rsidR="00D27A8C" w:rsidRPr="00E3511C">
        <w:rPr>
          <w:rFonts w:ascii="Times New Roman" w:hAnsi="Times New Roman" w:cs="Times New Roman"/>
          <w:color w:val="1F4E79" w:themeColor="accent5" w:themeShade="80"/>
          <w:sz w:val="20"/>
          <w:szCs w:val="20"/>
        </w:rPr>
        <w:t xml:space="preserve">, Ahmedabad, Gujarat </w:t>
      </w:r>
    </w:p>
    <w:p w14:paraId="41B9D6D4" w14:textId="0F639E58" w:rsidR="001E5FF8" w:rsidRDefault="001E5FF8" w:rsidP="001E5FF8">
      <w:pPr>
        <w:spacing w:after="0" w:line="240" w:lineRule="auto"/>
        <w:jc w:val="both"/>
        <w:rPr>
          <w:rFonts w:ascii="Times New Roman" w:hAnsi="Times New Roman" w:cs="Times New Roman"/>
          <w:color w:val="1F497D"/>
          <w:sz w:val="20"/>
          <w:szCs w:val="20"/>
        </w:rPr>
      </w:pPr>
      <w:r>
        <w:rPr>
          <w:rFonts w:ascii="Times New Roman" w:hAnsi="Times New Roman" w:cs="Times New Roman"/>
          <w:color w:val="1F497D"/>
          <w:sz w:val="20"/>
          <w:szCs w:val="20"/>
          <w:vertAlign w:val="superscript"/>
        </w:rPr>
        <w:t>2</w:t>
      </w:r>
      <w:r w:rsidRPr="001E5FF8">
        <w:rPr>
          <w:rFonts w:ascii="Times New Roman" w:hAnsi="Times New Roman" w:cs="Times New Roman"/>
          <w:color w:val="1F497D"/>
          <w:sz w:val="20"/>
          <w:szCs w:val="20"/>
        </w:rPr>
        <w:t xml:space="preserve"> Professor and Director, GRIMS ROFEL MBA College, Vapi, </w:t>
      </w:r>
      <w:r w:rsidR="00114CC6">
        <w:rPr>
          <w:rFonts w:ascii="Times New Roman" w:hAnsi="Times New Roman" w:cs="Times New Roman"/>
          <w:color w:val="1F497D"/>
          <w:sz w:val="20"/>
          <w:szCs w:val="20"/>
        </w:rPr>
        <w:t>Gujara</w:t>
      </w:r>
      <w:r w:rsidR="00D27A8C">
        <w:rPr>
          <w:rFonts w:ascii="Times New Roman" w:hAnsi="Times New Roman" w:cs="Times New Roman"/>
          <w:color w:val="1F497D"/>
          <w:sz w:val="20"/>
          <w:szCs w:val="20"/>
        </w:rPr>
        <w:t>t</w:t>
      </w:r>
    </w:p>
    <w:p w14:paraId="1F211A35" w14:textId="77777777" w:rsidR="001E5FF8" w:rsidRPr="001E5FF8" w:rsidRDefault="001E5FF8" w:rsidP="001E5FF8">
      <w:pPr>
        <w:spacing w:after="0" w:line="240" w:lineRule="auto"/>
        <w:jc w:val="both"/>
        <w:rPr>
          <w:rFonts w:ascii="Times New Roman" w:hAnsi="Times New Roman" w:cs="Times New Roman"/>
          <w:color w:val="1F497D"/>
          <w:sz w:val="20"/>
          <w:szCs w:val="20"/>
        </w:rPr>
      </w:pPr>
    </w:p>
    <w:tbl>
      <w:tblPr>
        <w:tblStyle w:val="TableGrid0"/>
        <w:tblW w:w="0" w:type="auto"/>
        <w:jc w:val="center"/>
        <w:tblBorders>
          <w:top w:val="single" w:sz="12" w:space="0" w:color="C00000"/>
          <w:left w:val="none" w:sz="0" w:space="0" w:color="auto"/>
          <w:bottom w:val="single" w:sz="12" w:space="0" w:color="C00000"/>
          <w:right w:val="none" w:sz="0" w:space="0" w:color="auto"/>
          <w:insideH w:val="single" w:sz="12" w:space="0" w:color="C00000"/>
          <w:insideV w:val="single" w:sz="12" w:space="0" w:color="C00000"/>
        </w:tblBorders>
        <w:tblLook w:val="04A0" w:firstRow="1" w:lastRow="0" w:firstColumn="1" w:lastColumn="0" w:noHBand="0" w:noVBand="1"/>
      </w:tblPr>
      <w:tblGrid>
        <w:gridCol w:w="1843"/>
        <w:gridCol w:w="7791"/>
      </w:tblGrid>
      <w:tr w:rsidR="001E5FF8" w:rsidRPr="00842F79" w14:paraId="5E1E371E" w14:textId="77777777" w:rsidTr="008C31A0">
        <w:trPr>
          <w:jc w:val="center"/>
        </w:trPr>
        <w:tc>
          <w:tcPr>
            <w:tcW w:w="1843" w:type="dxa"/>
          </w:tcPr>
          <w:p w14:paraId="0A1BA123" w14:textId="77777777" w:rsidR="00CA7FC6" w:rsidRPr="00CA7FC6" w:rsidRDefault="00CA7FC6" w:rsidP="00CA7FC6">
            <w:pPr>
              <w:tabs>
                <w:tab w:val="left" w:pos="426"/>
                <w:tab w:val="left" w:pos="883"/>
              </w:tabs>
              <w:ind w:left="32"/>
              <w:rPr>
                <w:rStyle w:val="fontstyle01"/>
                <w:rFonts w:ascii="Times New Roman" w:hAnsi="Times New Roman" w:cs="Times New Roman"/>
                <w:sz w:val="20"/>
                <w:szCs w:val="20"/>
              </w:rPr>
            </w:pPr>
            <w:r w:rsidRPr="00CA7FC6">
              <w:rPr>
                <w:rStyle w:val="fontstyle01"/>
                <w:rFonts w:ascii="Times New Roman" w:hAnsi="Times New Roman" w:cs="Times New Roman"/>
                <w:sz w:val="20"/>
                <w:szCs w:val="20"/>
              </w:rPr>
              <w:t>Received: 01/10/2025</w:t>
            </w:r>
          </w:p>
          <w:p w14:paraId="61017E79" w14:textId="77777777" w:rsidR="00CA7FC6" w:rsidRPr="00CA7FC6" w:rsidRDefault="00CA7FC6" w:rsidP="00CA7FC6">
            <w:pPr>
              <w:tabs>
                <w:tab w:val="left" w:pos="426"/>
                <w:tab w:val="left" w:pos="883"/>
              </w:tabs>
              <w:ind w:left="32"/>
              <w:rPr>
                <w:rStyle w:val="fontstyle01"/>
                <w:rFonts w:ascii="Times New Roman" w:hAnsi="Times New Roman" w:cs="Times New Roman"/>
                <w:sz w:val="20"/>
                <w:szCs w:val="20"/>
              </w:rPr>
            </w:pPr>
            <w:r w:rsidRPr="00CA7FC6">
              <w:rPr>
                <w:rStyle w:val="fontstyle01"/>
                <w:rFonts w:ascii="Times New Roman" w:hAnsi="Times New Roman" w:cs="Times New Roman"/>
                <w:sz w:val="20"/>
                <w:szCs w:val="20"/>
              </w:rPr>
              <w:t xml:space="preserve">Revised: 09/10/2025 </w:t>
            </w:r>
          </w:p>
          <w:p w14:paraId="115DE218" w14:textId="77777777" w:rsidR="00CA7FC6" w:rsidRPr="00CA7FC6" w:rsidRDefault="00CA7FC6" w:rsidP="00CA7FC6">
            <w:pPr>
              <w:tabs>
                <w:tab w:val="left" w:pos="426"/>
                <w:tab w:val="left" w:pos="883"/>
              </w:tabs>
              <w:ind w:left="32"/>
              <w:rPr>
                <w:rStyle w:val="fontstyle01"/>
                <w:rFonts w:ascii="Times New Roman" w:hAnsi="Times New Roman" w:cs="Times New Roman"/>
                <w:sz w:val="20"/>
                <w:szCs w:val="20"/>
              </w:rPr>
            </w:pPr>
            <w:r w:rsidRPr="00CA7FC6">
              <w:rPr>
                <w:rStyle w:val="fontstyle01"/>
                <w:rFonts w:ascii="Times New Roman" w:hAnsi="Times New Roman" w:cs="Times New Roman"/>
                <w:sz w:val="20"/>
                <w:szCs w:val="20"/>
              </w:rPr>
              <w:t>Accepted: 25/10/2025</w:t>
            </w:r>
          </w:p>
          <w:p w14:paraId="50709EB8" w14:textId="59B7690A" w:rsidR="001E5FF8" w:rsidRPr="00842F79" w:rsidRDefault="00CA7FC6" w:rsidP="00CA7FC6">
            <w:pPr>
              <w:tabs>
                <w:tab w:val="left" w:pos="426"/>
                <w:tab w:val="left" w:pos="883"/>
              </w:tabs>
              <w:ind w:left="32"/>
              <w:rPr>
                <w:rFonts w:ascii="Times New Roman" w:hAnsi="Times New Roman" w:cs="Times New Roman"/>
                <w:sz w:val="20"/>
                <w:szCs w:val="20"/>
              </w:rPr>
            </w:pPr>
            <w:r w:rsidRPr="00CA7FC6">
              <w:rPr>
                <w:rStyle w:val="fontstyle01"/>
                <w:rFonts w:ascii="Times New Roman" w:hAnsi="Times New Roman" w:cs="Times New Roman"/>
                <w:sz w:val="20"/>
                <w:szCs w:val="20"/>
              </w:rPr>
              <w:t>Published: 11/11/2025</w:t>
            </w:r>
            <w:r w:rsidR="001E5FF8" w:rsidRPr="00842F79">
              <w:rPr>
                <w:rStyle w:val="fontstyle01"/>
                <w:rFonts w:ascii="Times New Roman" w:hAnsi="Times New Roman" w:cs="Times New Roman"/>
                <w:sz w:val="20"/>
                <w:szCs w:val="20"/>
              </w:rPr>
              <w:t xml:space="preserve"> </w:t>
            </w:r>
          </w:p>
          <w:p w14:paraId="0B85DADA" w14:textId="77777777" w:rsidR="001E5FF8" w:rsidRPr="00842F79" w:rsidRDefault="001E5FF8" w:rsidP="008C31A0">
            <w:pPr>
              <w:tabs>
                <w:tab w:val="left" w:pos="426"/>
                <w:tab w:val="left" w:pos="883"/>
              </w:tabs>
              <w:ind w:left="32"/>
              <w:rPr>
                <w:rFonts w:ascii="Times New Roman" w:hAnsi="Times New Roman" w:cs="Times New Roman"/>
                <w:b/>
                <w:bCs/>
                <w:color w:val="1F497D"/>
                <w:sz w:val="20"/>
                <w:szCs w:val="20"/>
                <w:shd w:val="clear" w:color="auto" w:fill="FFFFFF"/>
              </w:rPr>
            </w:pPr>
          </w:p>
        </w:tc>
        <w:tc>
          <w:tcPr>
            <w:tcW w:w="7791" w:type="dxa"/>
          </w:tcPr>
          <w:p w14:paraId="2929A727" w14:textId="77777777" w:rsidR="001E5FF8" w:rsidRPr="00842F79" w:rsidRDefault="001E5FF8" w:rsidP="008C31A0">
            <w:pPr>
              <w:tabs>
                <w:tab w:val="left" w:pos="426"/>
              </w:tabs>
              <w:ind w:left="35"/>
              <w:rPr>
                <w:rFonts w:ascii="Times New Roman" w:hAnsi="Times New Roman" w:cs="Times New Roman"/>
                <w:b/>
                <w:color w:val="1F497D"/>
                <w:sz w:val="20"/>
                <w:szCs w:val="20"/>
              </w:rPr>
            </w:pPr>
            <w:r w:rsidRPr="00842F79">
              <w:rPr>
                <w:rFonts w:ascii="Times New Roman" w:hAnsi="Times New Roman" w:cs="Times New Roman"/>
                <w:b/>
                <w:color w:val="1F497D"/>
                <w:sz w:val="20"/>
                <w:szCs w:val="20"/>
              </w:rPr>
              <w:t>ABSTRACT</w:t>
            </w:r>
          </w:p>
          <w:p w14:paraId="626D0B77" w14:textId="1668163A" w:rsidR="001E5FF8" w:rsidRPr="001E5FF8" w:rsidRDefault="001E5FF8" w:rsidP="001E5FF8">
            <w:pPr>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To enhance financial protection and promote economic inclusion among the weaker sections of society, the </w:t>
            </w:r>
            <w:r w:rsidR="00114CC6">
              <w:rPr>
                <w:rFonts w:ascii="Times New Roman" w:eastAsia="Times New Roman" w:hAnsi="Times New Roman" w:cs="Times New Roman"/>
                <w:color w:val="1F497D"/>
                <w:kern w:val="0"/>
                <w:sz w:val="20"/>
                <w:szCs w:val="20"/>
                <w:lang w:eastAsia="en-IN"/>
                <w14:ligatures w14:val="none"/>
              </w:rPr>
              <w:t>social security schemes such as Pradhan Mantri Jeevan Jyoti Bima Yojana, Pradhan Mantri Suraksha Bima Yojana, and Atal Pension Yojana</w:t>
            </w:r>
            <w:r w:rsidR="001078A6">
              <w:rPr>
                <w:rFonts w:ascii="Times New Roman" w:eastAsia="Times New Roman" w:hAnsi="Times New Roman" w:cs="Times New Roman"/>
                <w:color w:val="1F497D"/>
                <w:kern w:val="0"/>
                <w:sz w:val="20"/>
                <w:szCs w:val="20"/>
                <w:lang w:eastAsia="en-IN"/>
                <w14:ligatures w14:val="none"/>
              </w:rPr>
              <w:t xml:space="preserve"> have been designed by the Government of India</w:t>
            </w:r>
            <w:r w:rsidRPr="001E5FF8">
              <w:rPr>
                <w:rFonts w:ascii="Times New Roman" w:eastAsia="Times New Roman" w:hAnsi="Times New Roman" w:cs="Times New Roman"/>
                <w:color w:val="1F497D"/>
                <w:kern w:val="0"/>
                <w:sz w:val="20"/>
                <w:szCs w:val="20"/>
                <w:lang w:eastAsia="en-IN"/>
                <w14:ligatures w14:val="none"/>
              </w:rPr>
              <w:t>. However, despite their affordability and accessibility, these schemes continue to face implementation challenges. The present study investigates the underlying difficulties encountered in selling social security schemes by employing a quantitative framework based on factor analysis and Structural Equation Modelling (SEM). Primary data collected from 300 respondents were analysed using descriptive and inferential statistical methods. Three major dimensions emerged</w:t>
            </w:r>
            <w:r w:rsidR="00114CC6" w:rsidRPr="00E3511C">
              <w:rPr>
                <w:rFonts w:ascii="Times New Roman" w:eastAsia="Times New Roman" w:hAnsi="Times New Roman" w:cs="Times New Roman"/>
                <w:color w:val="1F4E79" w:themeColor="accent5" w:themeShade="80"/>
                <w:kern w:val="0"/>
                <w:sz w:val="20"/>
                <w:szCs w:val="20"/>
                <w:lang w:eastAsia="en-IN"/>
                <w14:ligatures w14:val="none"/>
              </w:rPr>
              <w:t xml:space="preserve">, with 76.93% of </w:t>
            </w:r>
            <w:r w:rsidRPr="00E3511C">
              <w:rPr>
                <w:rFonts w:ascii="Times New Roman" w:eastAsia="Times New Roman" w:hAnsi="Times New Roman" w:cs="Times New Roman"/>
                <w:color w:val="1F4E79" w:themeColor="accent5" w:themeShade="80"/>
                <w:kern w:val="0"/>
                <w:sz w:val="20"/>
                <w:szCs w:val="20"/>
                <w:lang w:eastAsia="en-IN"/>
                <w14:ligatures w14:val="none"/>
              </w:rPr>
              <w:t>total varianc</w:t>
            </w:r>
            <w:r w:rsidR="00114CC6" w:rsidRPr="00E3511C">
              <w:rPr>
                <w:rFonts w:ascii="Times New Roman" w:eastAsia="Times New Roman" w:hAnsi="Times New Roman" w:cs="Times New Roman"/>
                <w:color w:val="1F4E79" w:themeColor="accent5" w:themeShade="80"/>
                <w:kern w:val="0"/>
                <w:sz w:val="20"/>
                <w:szCs w:val="20"/>
                <w:lang w:eastAsia="en-IN"/>
                <w14:ligatures w14:val="none"/>
              </w:rPr>
              <w:t>e that is</w:t>
            </w:r>
            <w:r w:rsidR="00114CC6">
              <w:rPr>
                <w:rFonts w:ascii="Times New Roman" w:eastAsia="Times New Roman" w:hAnsi="Times New Roman" w:cs="Times New Roman"/>
                <w:color w:val="1F497D"/>
                <w:kern w:val="0"/>
                <w:sz w:val="20"/>
                <w:szCs w:val="20"/>
                <w:lang w:eastAsia="en-IN"/>
                <w14:ligatures w14:val="none"/>
              </w:rPr>
              <w:t xml:space="preserve"> </w:t>
            </w:r>
            <w:r w:rsidRPr="001E5FF8">
              <w:rPr>
                <w:rFonts w:ascii="Times New Roman" w:eastAsia="Times New Roman" w:hAnsi="Times New Roman" w:cs="Times New Roman"/>
                <w:color w:val="1F497D"/>
                <w:kern w:val="0"/>
                <w:sz w:val="20"/>
                <w:szCs w:val="20"/>
                <w:lang w:eastAsia="en-IN"/>
                <w14:ligatures w14:val="none"/>
              </w:rPr>
              <w:t>Awareness &amp; Literacy Barriers, Operational &amp; Institutional Challenges, and Policy &amp; Structural Constraints. According to SEM results, all these dimensions have a significant contribution towards improving intermediaries' performance in selling social security schemes. The study found that policymakers and institutions should work together to strengthen skills, improve policies, and streamline operations to enhance intermediaries’ performance. The study provides useful evidence for service providers to create more effective awareness programs, strengthen institutional support, and streamline operational processes to improve the adoption and sustainability of social security schemes among weaker sections of society.</w:t>
            </w:r>
          </w:p>
          <w:p w14:paraId="0C5DB484" w14:textId="77777777" w:rsidR="001E5FF8" w:rsidRPr="001E5FF8" w:rsidRDefault="001E5FF8" w:rsidP="001E5FF8">
            <w:pPr>
              <w:jc w:val="both"/>
              <w:rPr>
                <w:rFonts w:ascii="Times New Roman" w:eastAsia="Times New Roman" w:hAnsi="Times New Roman" w:cs="Times New Roman"/>
                <w:color w:val="1F497D"/>
                <w:kern w:val="0"/>
                <w:sz w:val="20"/>
                <w:szCs w:val="20"/>
                <w:lang w:eastAsia="en-IN"/>
                <w14:ligatures w14:val="none"/>
              </w:rPr>
            </w:pPr>
          </w:p>
          <w:p w14:paraId="3DFE415C" w14:textId="79FB159A" w:rsidR="001E5FF8" w:rsidRPr="00842F79" w:rsidRDefault="001E5FF8" w:rsidP="001E5FF8">
            <w:pPr>
              <w:jc w:val="both"/>
              <w:rPr>
                <w:rFonts w:ascii="Times New Roman" w:hAnsi="Times New Roman" w:cs="Times New Roman"/>
                <w:color w:val="1F497D"/>
                <w:sz w:val="20"/>
                <w:szCs w:val="20"/>
              </w:rPr>
            </w:pPr>
            <w:r w:rsidRPr="001E5FF8">
              <w:rPr>
                <w:rFonts w:ascii="Times New Roman" w:eastAsia="Times New Roman" w:hAnsi="Times New Roman" w:cs="Times New Roman"/>
                <w:b/>
                <w:bCs/>
                <w:color w:val="1F497D"/>
                <w:kern w:val="0"/>
                <w:sz w:val="20"/>
                <w:szCs w:val="20"/>
                <w:lang w:eastAsia="en-IN"/>
                <w14:ligatures w14:val="none"/>
              </w:rPr>
              <w:t>Keywords:</w:t>
            </w:r>
            <w:r w:rsidRPr="001E5FF8">
              <w:rPr>
                <w:rFonts w:ascii="Times New Roman" w:eastAsia="Times New Roman" w:hAnsi="Times New Roman" w:cs="Times New Roman"/>
                <w:color w:val="1F497D"/>
                <w:kern w:val="0"/>
                <w:sz w:val="20"/>
                <w:szCs w:val="20"/>
                <w:lang w:eastAsia="en-IN"/>
                <w14:ligatures w14:val="none"/>
              </w:rPr>
              <w:t xml:space="preserve"> Social Security Schemes, Challenges, Structural Equation Model, Factor Analysis, Pradhan Mantri Jeevan Jyoti Bima Yojana, Pradhan Mantri Suraksha Bima Yojana, Atal Pension Yojana.</w:t>
            </w:r>
          </w:p>
        </w:tc>
      </w:tr>
      <w:tr w:rsidR="001E5FF8" w:rsidRPr="00842F79" w14:paraId="447501D2" w14:textId="77777777" w:rsidTr="008C31A0">
        <w:trPr>
          <w:jc w:val="center"/>
        </w:trPr>
        <w:tc>
          <w:tcPr>
            <w:tcW w:w="9634" w:type="dxa"/>
            <w:gridSpan w:val="2"/>
          </w:tcPr>
          <w:p w14:paraId="48356BCA" w14:textId="77777777" w:rsidR="001E5FF8" w:rsidRPr="00842F79" w:rsidRDefault="001E5FF8" w:rsidP="008C31A0">
            <w:pPr>
              <w:tabs>
                <w:tab w:val="left" w:pos="426"/>
                <w:tab w:val="left" w:pos="883"/>
              </w:tabs>
              <w:ind w:left="32"/>
              <w:rPr>
                <w:rFonts w:ascii="Times New Roman" w:hAnsi="Times New Roman" w:cs="Times New Roman"/>
                <w:color w:val="1F497D"/>
                <w:sz w:val="20"/>
                <w:szCs w:val="20"/>
                <w:shd w:val="clear" w:color="auto" w:fill="FFFFFF"/>
              </w:rPr>
            </w:pPr>
            <w:r w:rsidRPr="00842F79">
              <w:rPr>
                <w:rFonts w:ascii="Times New Roman" w:hAnsi="Times New Roman" w:cs="Times New Roman"/>
                <w:noProof/>
                <w:sz w:val="20"/>
                <w:szCs w:val="20"/>
              </w:rPr>
              <w:drawing>
                <wp:anchor distT="0" distB="0" distL="114300" distR="114300" simplePos="0" relativeHeight="251659264" behindDoc="0" locked="0" layoutInCell="1" allowOverlap="1" wp14:anchorId="57D39C2C" wp14:editId="6C1B1761">
                  <wp:simplePos x="0" y="0"/>
                  <wp:positionH relativeFrom="margin">
                    <wp:posOffset>0</wp:posOffset>
                  </wp:positionH>
                  <wp:positionV relativeFrom="margin">
                    <wp:posOffset>57150</wp:posOffset>
                  </wp:positionV>
                  <wp:extent cx="906145" cy="425450"/>
                  <wp:effectExtent l="0" t="0" r="8255" b="0"/>
                  <wp:wrapSquare wrapText="bothSides"/>
                  <wp:docPr id="285" name="Picture 1" descr="A grey and white sign with a person and a c&#10;&#10;AI-generated content may be incorrect."/>
                  <wp:cNvGraphicFramePr/>
                  <a:graphic xmlns:a="http://schemas.openxmlformats.org/drawingml/2006/main">
                    <a:graphicData uri="http://schemas.openxmlformats.org/drawingml/2006/picture">
                      <pic:pic xmlns:pic="http://schemas.openxmlformats.org/drawingml/2006/picture">
                        <pic:nvPicPr>
                          <pic:cNvPr id="285" name="Picture 1" descr="A grey and white sign with a person and a c&#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06145" cy="425450"/>
                          </a:xfrm>
                          <a:prstGeom prst="rect">
                            <a:avLst/>
                          </a:prstGeom>
                        </pic:spPr>
                      </pic:pic>
                    </a:graphicData>
                  </a:graphic>
                </wp:anchor>
              </w:drawing>
            </w:r>
            <w:r w:rsidRPr="00842F79">
              <w:rPr>
                <w:rFonts w:ascii="Times New Roman" w:hAnsi="Times New Roman" w:cs="Times New Roman"/>
                <w:color w:val="1F497D"/>
                <w:sz w:val="20"/>
                <w:szCs w:val="20"/>
                <w:shd w:val="clear" w:color="auto" w:fill="FFFFFF"/>
              </w:rPr>
              <w:t>© 2025 by the authors; licensee Advances in Consumer Research. This article is an open access article distributed under the terms and conditions of the Creative Commons Attribution (CC-BYNC.ND) license(http://creativecommons.org/licenses/by/4.0/).</w:t>
            </w:r>
          </w:p>
        </w:tc>
      </w:tr>
    </w:tbl>
    <w:p w14:paraId="1F70CCE0" w14:textId="77777777" w:rsidR="001E5FF8" w:rsidRPr="001E5FF8" w:rsidRDefault="001E5FF8" w:rsidP="001E5FF8">
      <w:pPr>
        <w:pStyle w:val="Heading1"/>
        <w:spacing w:before="0" w:after="0" w:line="240" w:lineRule="auto"/>
        <w:jc w:val="both"/>
        <w:rPr>
          <w:rFonts w:ascii="Times New Roman" w:hAnsi="Times New Roman" w:cs="Times New Roman"/>
          <w:b/>
          <w:bCs/>
          <w:color w:val="1F497D"/>
          <w:sz w:val="20"/>
          <w:szCs w:val="20"/>
        </w:rPr>
      </w:pPr>
    </w:p>
    <w:p w14:paraId="0653BC93" w14:textId="77777777" w:rsidR="001E5FF8" w:rsidRDefault="001E5FF8" w:rsidP="001E5FF8">
      <w:pPr>
        <w:pStyle w:val="Heading1"/>
        <w:spacing w:before="0" w:after="0" w:line="240" w:lineRule="auto"/>
        <w:jc w:val="both"/>
        <w:rPr>
          <w:rFonts w:ascii="Times New Roman" w:hAnsi="Times New Roman" w:cs="Times New Roman"/>
          <w:b/>
          <w:bCs/>
          <w:color w:val="1F497D"/>
          <w:sz w:val="20"/>
          <w:szCs w:val="20"/>
        </w:rPr>
        <w:sectPr w:rsidR="001E5FF8" w:rsidSect="00AE2FA4">
          <w:headerReference w:type="default" r:id="rId9"/>
          <w:footerReference w:type="default" r:id="rId10"/>
          <w:headerReference w:type="first" r:id="rId11"/>
          <w:footerReference w:type="first" r:id="rId12"/>
          <w:pgSz w:w="11906" w:h="16838" w:code="9"/>
          <w:pgMar w:top="1021" w:right="1066" w:bottom="964" w:left="1168" w:header="851" w:footer="777" w:gutter="0"/>
          <w:pgNumType w:start="1244"/>
          <w:cols w:space="708"/>
          <w:titlePg/>
          <w:docGrid w:linePitch="360"/>
        </w:sectPr>
      </w:pPr>
    </w:p>
    <w:p w14:paraId="76FFD474" w14:textId="64146237" w:rsidR="00252A5B" w:rsidRPr="001E5FF8" w:rsidRDefault="00757E5A" w:rsidP="001E5FF8">
      <w:pPr>
        <w:pStyle w:val="Heading1"/>
        <w:spacing w:before="0" w:after="0" w:line="240" w:lineRule="auto"/>
        <w:jc w:val="both"/>
        <w:rPr>
          <w:rFonts w:ascii="Times New Roman" w:hAnsi="Times New Roman" w:cs="Times New Roman"/>
          <w:b/>
          <w:bCs/>
          <w:color w:val="1F497D"/>
          <w:sz w:val="20"/>
          <w:szCs w:val="20"/>
        </w:rPr>
      </w:pPr>
      <w:r w:rsidRPr="001E5FF8">
        <w:rPr>
          <w:rFonts w:ascii="Times New Roman" w:hAnsi="Times New Roman" w:cs="Times New Roman"/>
          <w:b/>
          <w:bCs/>
          <w:color w:val="1F497D"/>
          <w:sz w:val="20"/>
          <w:szCs w:val="20"/>
        </w:rPr>
        <w:t xml:space="preserve">INTRODUCTION </w:t>
      </w:r>
    </w:p>
    <w:p w14:paraId="30B7F20B" w14:textId="03489BEE" w:rsidR="00214C82" w:rsidRDefault="0062241C"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Social Security Schemes are an important component of financial inclusion policies.  They protect individuals against economic risks such as illness, accidents, unemployment and old age. </w:t>
      </w:r>
      <w:r w:rsidR="002279C8" w:rsidRPr="001E5FF8">
        <w:rPr>
          <w:rFonts w:ascii="Times New Roman" w:eastAsia="Times New Roman" w:hAnsi="Times New Roman" w:cs="Times New Roman"/>
          <w:color w:val="1F497D"/>
          <w:kern w:val="0"/>
          <w:sz w:val="20"/>
          <w:szCs w:val="20"/>
          <w:lang w:eastAsia="en-IN"/>
          <w14:ligatures w14:val="none"/>
        </w:rPr>
        <w:t xml:space="preserve">In India, the government had initiatives </w:t>
      </w:r>
      <w:r w:rsidR="00114CC6">
        <w:rPr>
          <w:rFonts w:ascii="Times New Roman" w:eastAsia="Times New Roman" w:hAnsi="Times New Roman" w:cs="Times New Roman"/>
          <w:color w:val="1F497D"/>
          <w:kern w:val="0"/>
          <w:sz w:val="20"/>
          <w:szCs w:val="20"/>
          <w:lang w:eastAsia="en-IN"/>
          <w14:ligatures w14:val="none"/>
        </w:rPr>
        <w:t xml:space="preserve">like </w:t>
      </w:r>
      <w:r w:rsidR="002279C8" w:rsidRPr="001E5FF8">
        <w:rPr>
          <w:rFonts w:ascii="Times New Roman" w:eastAsia="Times New Roman" w:hAnsi="Times New Roman" w:cs="Times New Roman"/>
          <w:color w:val="1F497D"/>
          <w:kern w:val="0"/>
          <w:sz w:val="20"/>
          <w:szCs w:val="20"/>
          <w:lang w:eastAsia="en-IN"/>
          <w14:ligatures w14:val="none"/>
        </w:rPr>
        <w:t xml:space="preserve">life and accident insurance programs and financial security during retirement age to extend financial security to </w:t>
      </w:r>
      <w:r w:rsidR="00971952">
        <w:rPr>
          <w:rFonts w:ascii="Times New Roman" w:eastAsia="Times New Roman" w:hAnsi="Times New Roman" w:cs="Times New Roman"/>
          <w:color w:val="1F497D"/>
          <w:kern w:val="0"/>
          <w:sz w:val="20"/>
          <w:szCs w:val="20"/>
          <w:lang w:eastAsia="en-IN"/>
          <w14:ligatures w14:val="none"/>
        </w:rPr>
        <w:t xml:space="preserve">the </w:t>
      </w:r>
      <w:r w:rsidR="002279C8" w:rsidRPr="001E5FF8">
        <w:rPr>
          <w:rFonts w:ascii="Times New Roman" w:eastAsia="Times New Roman" w:hAnsi="Times New Roman" w:cs="Times New Roman"/>
          <w:color w:val="1F497D"/>
          <w:kern w:val="0"/>
          <w:sz w:val="20"/>
          <w:szCs w:val="20"/>
          <w:lang w:eastAsia="en-IN"/>
          <w14:ligatures w14:val="none"/>
        </w:rPr>
        <w:t xml:space="preserve">weaker sections of society. These Social Security Schemes are designed to reduce vulnerability and support long-term financial resilience. However, despite the affordability and accessibility of the schemes, the participation level remains modest, particularly among weaker sections of society. </w:t>
      </w:r>
    </w:p>
    <w:p w14:paraId="583ADC1E" w14:textId="77777777" w:rsidR="00757E5A" w:rsidRPr="001E5FF8"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4B9E60D4" w14:textId="167FD932" w:rsidR="002279C8" w:rsidRDefault="001762AF"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The slow acceptance of Pradhan Mantri Jeevan Jyoti Bima Yojana, Pradhan Mantri Suraksha Bima Yojana, and Atal Pension Yojana reflects major constraints in the implementation of schemes. Many potential beneficiaries might have limited awareness of the schemes, a wrong perception of insurance and a misconception about their benefits. Even a lack of financial knowledge and trust further discourages </w:t>
      </w:r>
      <w:r w:rsidRPr="001E5FF8">
        <w:rPr>
          <w:rFonts w:ascii="Times New Roman" w:eastAsia="Times New Roman" w:hAnsi="Times New Roman" w:cs="Times New Roman"/>
          <w:color w:val="1F497D"/>
          <w:kern w:val="0"/>
          <w:sz w:val="20"/>
          <w:szCs w:val="20"/>
          <w:lang w:eastAsia="en-IN"/>
          <w14:ligatures w14:val="none"/>
        </w:rPr>
        <w:t xml:space="preserve">enrolment </w:t>
      </w:r>
      <w:r w:rsidR="000F47EA" w:rsidRPr="001E5FF8">
        <w:rPr>
          <w:rFonts w:ascii="Times New Roman" w:eastAsia="Times New Roman" w:hAnsi="Times New Roman" w:cs="Times New Roman"/>
          <w:color w:val="1F497D"/>
          <w:kern w:val="0"/>
          <w:sz w:val="20"/>
          <w:szCs w:val="20"/>
          <w:lang w:eastAsia="en-IN"/>
          <w14:ligatures w14:val="none"/>
        </w:rPr>
        <w:t>in</w:t>
      </w:r>
      <w:r w:rsidRPr="001E5FF8">
        <w:rPr>
          <w:rFonts w:ascii="Times New Roman" w:eastAsia="Times New Roman" w:hAnsi="Times New Roman" w:cs="Times New Roman"/>
          <w:color w:val="1F497D"/>
          <w:kern w:val="0"/>
          <w:sz w:val="20"/>
          <w:szCs w:val="20"/>
          <w:lang w:eastAsia="en-IN"/>
          <w14:ligatures w14:val="none"/>
        </w:rPr>
        <w:t xml:space="preserve"> the schemes. At the same time, intermediaries face significant constraints such as low incentives, weak institutional support, inadequate training or complicated claim settlement procedures. These obstacles make it difficult to promote the schemes effectively and reach the target population.</w:t>
      </w:r>
    </w:p>
    <w:p w14:paraId="5529CDF7" w14:textId="77777777" w:rsidR="00757E5A" w:rsidRPr="001E5FF8"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57994457" w14:textId="284B87F1" w:rsidR="000F47EA" w:rsidRPr="001E5FF8" w:rsidRDefault="000F47E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Understanding these </w:t>
      </w:r>
      <w:r w:rsidR="00C32AAC" w:rsidRPr="001E5FF8">
        <w:rPr>
          <w:rFonts w:ascii="Times New Roman" w:eastAsia="Times New Roman" w:hAnsi="Times New Roman" w:cs="Times New Roman"/>
          <w:color w:val="1F497D"/>
          <w:kern w:val="0"/>
          <w:sz w:val="20"/>
          <w:szCs w:val="20"/>
          <w:lang w:eastAsia="en-IN"/>
          <w14:ligatures w14:val="none"/>
        </w:rPr>
        <w:t>factors</w:t>
      </w:r>
      <w:r w:rsidRPr="001E5FF8">
        <w:rPr>
          <w:rFonts w:ascii="Times New Roman" w:eastAsia="Times New Roman" w:hAnsi="Times New Roman" w:cs="Times New Roman"/>
          <w:color w:val="1F497D"/>
          <w:kern w:val="0"/>
          <w:sz w:val="20"/>
          <w:szCs w:val="20"/>
          <w:lang w:eastAsia="en-IN"/>
          <w14:ligatures w14:val="none"/>
        </w:rPr>
        <w:t xml:space="preserve"> </w:t>
      </w:r>
      <w:r w:rsidR="00D45013" w:rsidRPr="001E5FF8">
        <w:rPr>
          <w:rFonts w:ascii="Times New Roman" w:eastAsia="Times New Roman" w:hAnsi="Times New Roman" w:cs="Times New Roman"/>
          <w:color w:val="1F497D"/>
          <w:kern w:val="0"/>
          <w:sz w:val="20"/>
          <w:szCs w:val="20"/>
          <w:lang w:eastAsia="en-IN"/>
          <w14:ligatures w14:val="none"/>
        </w:rPr>
        <w:t>is</w:t>
      </w:r>
      <w:r w:rsidRPr="001E5FF8">
        <w:rPr>
          <w:rFonts w:ascii="Times New Roman" w:eastAsia="Times New Roman" w:hAnsi="Times New Roman" w:cs="Times New Roman"/>
          <w:color w:val="1F497D"/>
          <w:kern w:val="0"/>
          <w:sz w:val="20"/>
          <w:szCs w:val="20"/>
          <w:lang w:eastAsia="en-IN"/>
          <w14:ligatures w14:val="none"/>
        </w:rPr>
        <w:t xml:space="preserve"> essential to improving implementation and enhancing policy outcomes. The study aims to identify the key factors that influence the</w:t>
      </w:r>
      <w:r w:rsidR="00C32AAC" w:rsidRPr="001E5FF8">
        <w:rPr>
          <w:rFonts w:ascii="Times New Roman" w:eastAsia="Times New Roman" w:hAnsi="Times New Roman" w:cs="Times New Roman"/>
          <w:color w:val="1F497D"/>
          <w:kern w:val="0"/>
          <w:sz w:val="20"/>
          <w:szCs w:val="20"/>
          <w:lang w:eastAsia="en-IN"/>
          <w14:ligatures w14:val="none"/>
        </w:rPr>
        <w:t xml:space="preserve"> intermediaries</w:t>
      </w:r>
      <w:r w:rsidRPr="001E5FF8">
        <w:rPr>
          <w:rFonts w:ascii="Times New Roman" w:eastAsia="Times New Roman" w:hAnsi="Times New Roman" w:cs="Times New Roman"/>
          <w:color w:val="1F497D"/>
          <w:kern w:val="0"/>
          <w:sz w:val="20"/>
          <w:szCs w:val="20"/>
          <w:lang w:eastAsia="en-IN"/>
          <w14:ligatures w14:val="none"/>
        </w:rPr>
        <w:t xml:space="preserve"> in selling social security schemes. The present study aims to examine the </w:t>
      </w:r>
      <w:r w:rsidR="00C32AAC" w:rsidRPr="001E5FF8">
        <w:rPr>
          <w:rFonts w:ascii="Times New Roman" w:eastAsia="Times New Roman" w:hAnsi="Times New Roman" w:cs="Times New Roman"/>
          <w:color w:val="1F497D"/>
          <w:kern w:val="0"/>
          <w:sz w:val="20"/>
          <w:szCs w:val="20"/>
          <w:lang w:eastAsia="en-IN"/>
          <w14:ligatures w14:val="none"/>
        </w:rPr>
        <w:t>factors</w:t>
      </w:r>
      <w:r w:rsidRPr="001E5FF8">
        <w:rPr>
          <w:rFonts w:ascii="Times New Roman" w:eastAsia="Times New Roman" w:hAnsi="Times New Roman" w:cs="Times New Roman"/>
          <w:color w:val="1F497D"/>
          <w:kern w:val="0"/>
          <w:sz w:val="20"/>
          <w:szCs w:val="20"/>
          <w:lang w:eastAsia="en-IN"/>
          <w14:ligatures w14:val="none"/>
        </w:rPr>
        <w:t xml:space="preserve"> being faced by the intermediaries in selling social security schemes with respect to the South Gujarat regions, which provide valuable insights for Service Providers, thereby increasing the reach, adoption, and sustainability of social security schemes.</w:t>
      </w:r>
    </w:p>
    <w:p w14:paraId="6569F93F" w14:textId="77777777" w:rsidR="001E5FF8" w:rsidRPr="001E5FF8" w:rsidRDefault="001E5FF8"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372CF9F3" w14:textId="0FDCF4DA" w:rsidR="005F756C" w:rsidRPr="001E5FF8" w:rsidRDefault="00757E5A" w:rsidP="001E5FF8">
      <w:pPr>
        <w:pStyle w:val="Heading1"/>
        <w:spacing w:before="0" w:after="0" w:line="240" w:lineRule="auto"/>
        <w:jc w:val="both"/>
        <w:rPr>
          <w:rFonts w:ascii="Times New Roman" w:eastAsia="Times New Roman" w:hAnsi="Times New Roman" w:cs="Times New Roman"/>
          <w:b/>
          <w:bCs/>
          <w:color w:val="1F497D"/>
          <w:sz w:val="20"/>
          <w:szCs w:val="20"/>
          <w:lang w:eastAsia="en-IN"/>
        </w:rPr>
      </w:pPr>
      <w:r w:rsidRPr="001E5FF8">
        <w:rPr>
          <w:rFonts w:ascii="Times New Roman" w:eastAsia="Times New Roman" w:hAnsi="Times New Roman" w:cs="Times New Roman"/>
          <w:b/>
          <w:bCs/>
          <w:color w:val="1F497D"/>
          <w:sz w:val="20"/>
          <w:szCs w:val="20"/>
          <w:lang w:eastAsia="en-IN"/>
        </w:rPr>
        <w:t>LITERATURE REVIEW</w:t>
      </w:r>
    </w:p>
    <w:p w14:paraId="1BCCB11B" w14:textId="6190A75E" w:rsidR="005F756C" w:rsidRDefault="00922E1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Social Security Schemes are a crucial component of financial inclusion, offering economic protection and stability to weaker sections of society. However, the </w:t>
      </w:r>
      <w:r w:rsidRPr="001E5FF8">
        <w:rPr>
          <w:rFonts w:ascii="Times New Roman" w:eastAsia="Times New Roman" w:hAnsi="Times New Roman" w:cs="Times New Roman"/>
          <w:color w:val="1F497D"/>
          <w:kern w:val="0"/>
          <w:sz w:val="20"/>
          <w:szCs w:val="20"/>
          <w:lang w:eastAsia="en-IN"/>
          <w14:ligatures w14:val="none"/>
        </w:rPr>
        <w:lastRenderedPageBreak/>
        <w:t>implementation of such schemes faces challenges, particularly in developing countries like India. Substantial studies have focused on the challenges associated with the implementation of social security schemes.</w:t>
      </w:r>
      <w:r w:rsidR="00972A88" w:rsidRPr="001E5FF8">
        <w:rPr>
          <w:rFonts w:ascii="Times New Roman" w:eastAsia="Times New Roman" w:hAnsi="Times New Roman" w:cs="Times New Roman"/>
          <w:color w:val="1F497D"/>
          <w:kern w:val="0"/>
          <w:sz w:val="20"/>
          <w:szCs w:val="20"/>
          <w:lang w:eastAsia="en-IN"/>
          <w14:ligatures w14:val="none"/>
        </w:rPr>
        <w:t xml:space="preserve"> The demand side factors, such as less awareness and limited financial literacy, and supply side factors, including inefficiencies, operational and insufficient institutional support, have been highlighted by the researchers as challenges for social security schemes (Annamalai &amp; Bhagat, 2020).</w:t>
      </w:r>
    </w:p>
    <w:p w14:paraId="59A7F5F6" w14:textId="77777777" w:rsidR="00757E5A" w:rsidRPr="001E5FF8"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7461B5EA" w14:textId="356206DA" w:rsidR="00972A88" w:rsidRDefault="00972A88"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In the adoption of Social </w:t>
      </w:r>
      <w:r w:rsidR="003844FC" w:rsidRPr="001E5FF8">
        <w:rPr>
          <w:rFonts w:ascii="Times New Roman" w:eastAsia="Times New Roman" w:hAnsi="Times New Roman" w:cs="Times New Roman"/>
          <w:color w:val="1F497D"/>
          <w:kern w:val="0"/>
          <w:sz w:val="20"/>
          <w:szCs w:val="20"/>
          <w:lang w:eastAsia="en-IN"/>
          <w14:ligatures w14:val="none"/>
        </w:rPr>
        <w:t>Protection,</w:t>
      </w:r>
      <w:r w:rsidRPr="001E5FF8">
        <w:rPr>
          <w:rFonts w:ascii="Times New Roman" w:eastAsia="Times New Roman" w:hAnsi="Times New Roman" w:cs="Times New Roman"/>
          <w:color w:val="1F497D"/>
          <w:kern w:val="0"/>
          <w:sz w:val="20"/>
          <w:szCs w:val="20"/>
          <w:lang w:eastAsia="en-IN"/>
          <w14:ligatures w14:val="none"/>
        </w:rPr>
        <w:t xml:space="preserve"> the several studies have explored the role of financial knowledge and awareness play a crucial role in promoting participation and effective implementation. Allen et al. (2016) signify that the lack of financial literacy directly affects the individual's ability to participate in formal financial systems. Similarly,</w:t>
      </w:r>
      <w:r w:rsidR="00C86FA5" w:rsidRPr="001E5FF8">
        <w:rPr>
          <w:rFonts w:ascii="Times New Roman" w:eastAsia="Times New Roman" w:hAnsi="Times New Roman" w:cs="Times New Roman"/>
          <w:color w:val="1F497D"/>
          <w:kern w:val="0"/>
          <w:sz w:val="20"/>
          <w:szCs w:val="20"/>
          <w:lang w:eastAsia="en-IN"/>
          <w14:ligatures w14:val="none"/>
        </w:rPr>
        <w:t xml:space="preserve"> </w:t>
      </w:r>
      <w:r w:rsidRPr="001E5FF8">
        <w:rPr>
          <w:rFonts w:ascii="Times New Roman" w:eastAsia="Times New Roman" w:hAnsi="Times New Roman" w:cs="Times New Roman"/>
          <w:color w:val="1F497D"/>
          <w:kern w:val="0"/>
          <w:sz w:val="20"/>
          <w:szCs w:val="20"/>
          <w:lang w:eastAsia="en-IN"/>
          <w14:ligatures w14:val="none"/>
        </w:rPr>
        <w:t>Bhanot et al. (2012)</w:t>
      </w:r>
      <w:r w:rsidR="00F3329E" w:rsidRPr="001E5FF8">
        <w:rPr>
          <w:rFonts w:ascii="Times New Roman" w:eastAsia="Times New Roman" w:hAnsi="Times New Roman" w:cs="Times New Roman"/>
          <w:color w:val="1F497D"/>
          <w:kern w:val="0"/>
          <w:sz w:val="20"/>
          <w:szCs w:val="20"/>
          <w:lang w:eastAsia="en-IN"/>
          <w14:ligatures w14:val="none"/>
        </w:rPr>
        <w:t xml:space="preserve"> found that insufficient comprehension of insurance benefits reduces the rates of enrolment in rural areas. Singh and Kaur (2023) highlight that even with government-backed schemes, awareness campaigns often fail to reach the target population effectively, leading to misconceptions and mistrust among people.</w:t>
      </w:r>
    </w:p>
    <w:p w14:paraId="1055F52A" w14:textId="77777777" w:rsidR="00757E5A" w:rsidRPr="001E5FF8"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79B8CB22" w14:textId="0960E913" w:rsidR="009579A6" w:rsidRPr="001E5FF8" w:rsidRDefault="00F3329E"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From the perspective of the supply side, the operational constraints remain significant. The </w:t>
      </w:r>
      <w:r w:rsidR="00C86FA5" w:rsidRPr="001E5FF8">
        <w:rPr>
          <w:rFonts w:ascii="Times New Roman" w:eastAsia="Times New Roman" w:hAnsi="Times New Roman" w:cs="Times New Roman"/>
          <w:color w:val="1F497D"/>
          <w:kern w:val="0"/>
          <w:sz w:val="20"/>
          <w:szCs w:val="20"/>
          <w:lang w:eastAsia="en-IN"/>
          <w14:ligatures w14:val="none"/>
        </w:rPr>
        <w:t>researchers</w:t>
      </w:r>
      <w:r w:rsidRPr="001E5FF8">
        <w:rPr>
          <w:rFonts w:ascii="Times New Roman" w:eastAsia="Times New Roman" w:hAnsi="Times New Roman" w:cs="Times New Roman"/>
          <w:color w:val="1F497D"/>
          <w:kern w:val="0"/>
          <w:sz w:val="20"/>
          <w:szCs w:val="20"/>
          <w:lang w:eastAsia="en-IN"/>
          <w14:ligatures w14:val="none"/>
        </w:rPr>
        <w:t xml:space="preserve"> </w:t>
      </w:r>
      <w:proofErr w:type="spellStart"/>
      <w:r w:rsidRPr="001E5FF8">
        <w:rPr>
          <w:rFonts w:ascii="Times New Roman" w:eastAsia="Times New Roman" w:hAnsi="Times New Roman" w:cs="Times New Roman"/>
          <w:color w:val="1F497D"/>
          <w:kern w:val="0"/>
          <w:sz w:val="20"/>
          <w:szCs w:val="20"/>
          <w:lang w:eastAsia="en-IN"/>
          <w14:ligatures w14:val="none"/>
        </w:rPr>
        <w:t>Thampy</w:t>
      </w:r>
      <w:proofErr w:type="spellEnd"/>
      <w:r w:rsidRPr="001E5FF8">
        <w:rPr>
          <w:rFonts w:ascii="Times New Roman" w:eastAsia="Times New Roman" w:hAnsi="Times New Roman" w:cs="Times New Roman"/>
          <w:color w:val="1F497D"/>
          <w:kern w:val="0"/>
          <w:sz w:val="20"/>
          <w:szCs w:val="20"/>
          <w:lang w:eastAsia="en-IN"/>
          <w14:ligatures w14:val="none"/>
        </w:rPr>
        <w:t xml:space="preserve"> &amp; Rao (2019) found that agents encounter difficulties in </w:t>
      </w:r>
      <w:r w:rsidR="009579A6" w:rsidRPr="001E5FF8">
        <w:rPr>
          <w:rFonts w:ascii="Times New Roman" w:eastAsia="Times New Roman" w:hAnsi="Times New Roman" w:cs="Times New Roman"/>
          <w:color w:val="1F497D"/>
          <w:kern w:val="0"/>
          <w:sz w:val="20"/>
          <w:szCs w:val="20"/>
          <w:lang w:eastAsia="en-IN"/>
          <w14:ligatures w14:val="none"/>
        </w:rPr>
        <w:t xml:space="preserve">the </w:t>
      </w:r>
      <w:r w:rsidRPr="001E5FF8">
        <w:rPr>
          <w:rFonts w:ascii="Times New Roman" w:eastAsia="Times New Roman" w:hAnsi="Times New Roman" w:cs="Times New Roman"/>
          <w:color w:val="1F497D"/>
          <w:kern w:val="0"/>
          <w:sz w:val="20"/>
          <w:szCs w:val="20"/>
          <w:lang w:eastAsia="en-IN"/>
          <w14:ligatures w14:val="none"/>
        </w:rPr>
        <w:t xml:space="preserve">collection of </w:t>
      </w:r>
      <w:r w:rsidR="00C86FA5" w:rsidRPr="001E5FF8">
        <w:rPr>
          <w:rFonts w:ascii="Times New Roman" w:eastAsia="Times New Roman" w:hAnsi="Times New Roman" w:cs="Times New Roman"/>
          <w:color w:val="1F497D"/>
          <w:kern w:val="0"/>
          <w:sz w:val="20"/>
          <w:szCs w:val="20"/>
          <w:lang w:eastAsia="en-IN"/>
          <w14:ligatures w14:val="none"/>
        </w:rPr>
        <w:t>premiums</w:t>
      </w:r>
      <w:r w:rsidRPr="001E5FF8">
        <w:rPr>
          <w:rFonts w:ascii="Times New Roman" w:eastAsia="Times New Roman" w:hAnsi="Times New Roman" w:cs="Times New Roman"/>
          <w:color w:val="1F497D"/>
          <w:kern w:val="0"/>
          <w:sz w:val="20"/>
          <w:szCs w:val="20"/>
          <w:lang w:eastAsia="en-IN"/>
          <w14:ligatures w14:val="none"/>
        </w:rPr>
        <w:t>, poor training, and low incentives</w:t>
      </w:r>
      <w:r w:rsidR="00C86FA5" w:rsidRPr="001E5FF8">
        <w:rPr>
          <w:rFonts w:ascii="Times New Roman" w:eastAsia="Times New Roman" w:hAnsi="Times New Roman" w:cs="Times New Roman"/>
          <w:color w:val="1F497D"/>
          <w:kern w:val="0"/>
          <w:sz w:val="20"/>
          <w:szCs w:val="20"/>
          <w:lang w:eastAsia="en-IN"/>
          <w14:ligatures w14:val="none"/>
        </w:rPr>
        <w:t>,</w:t>
      </w:r>
      <w:r w:rsidRPr="001E5FF8">
        <w:rPr>
          <w:rFonts w:ascii="Times New Roman" w:eastAsia="Times New Roman" w:hAnsi="Times New Roman" w:cs="Times New Roman"/>
          <w:color w:val="1F497D"/>
          <w:kern w:val="0"/>
          <w:sz w:val="20"/>
          <w:szCs w:val="20"/>
          <w:lang w:eastAsia="en-IN"/>
          <w14:ligatures w14:val="none"/>
        </w:rPr>
        <w:t xml:space="preserve"> </w:t>
      </w:r>
      <w:r w:rsidR="00C86FA5" w:rsidRPr="001E5FF8">
        <w:rPr>
          <w:rFonts w:ascii="Times New Roman" w:eastAsia="Times New Roman" w:hAnsi="Times New Roman" w:cs="Times New Roman"/>
          <w:color w:val="1F497D"/>
          <w:kern w:val="0"/>
          <w:sz w:val="20"/>
          <w:szCs w:val="20"/>
          <w:lang w:eastAsia="en-IN"/>
          <w14:ligatures w14:val="none"/>
        </w:rPr>
        <w:t xml:space="preserve">which decreases their motivation level to sell microinsurance products. Churchill and Matul (2012) also assert that limited reinsurance support, complex claim procedures, and inadequate digital infrastructure make scheme administration complicated. Subrahmanyam &amp; Thakur (2021) recognised that the weak mechanisms and inconsistent monitoring </w:t>
      </w:r>
      <w:r w:rsidR="009579A6" w:rsidRPr="001E5FF8">
        <w:rPr>
          <w:rFonts w:ascii="Times New Roman" w:eastAsia="Times New Roman" w:hAnsi="Times New Roman" w:cs="Times New Roman"/>
          <w:color w:val="1F497D"/>
          <w:kern w:val="0"/>
          <w:sz w:val="20"/>
          <w:szCs w:val="20"/>
          <w:lang w:eastAsia="en-IN"/>
          <w14:ligatures w14:val="none"/>
        </w:rPr>
        <w:t>hinder</w:t>
      </w:r>
      <w:r w:rsidR="00C86FA5" w:rsidRPr="001E5FF8">
        <w:rPr>
          <w:rFonts w:ascii="Times New Roman" w:eastAsia="Times New Roman" w:hAnsi="Times New Roman" w:cs="Times New Roman"/>
          <w:color w:val="1F497D"/>
          <w:kern w:val="0"/>
          <w:sz w:val="20"/>
          <w:szCs w:val="20"/>
          <w:lang w:eastAsia="en-IN"/>
          <w14:ligatures w14:val="none"/>
        </w:rPr>
        <w:t xml:space="preserve"> the </w:t>
      </w:r>
      <w:r w:rsidR="009579A6" w:rsidRPr="001E5FF8">
        <w:rPr>
          <w:rFonts w:ascii="Times New Roman" w:eastAsia="Times New Roman" w:hAnsi="Times New Roman" w:cs="Times New Roman"/>
          <w:color w:val="1F497D"/>
          <w:kern w:val="0"/>
          <w:sz w:val="20"/>
          <w:szCs w:val="20"/>
          <w:lang w:eastAsia="en-IN"/>
          <w14:ligatures w14:val="none"/>
        </w:rPr>
        <w:t>long-term</w:t>
      </w:r>
      <w:r w:rsidR="00C86FA5" w:rsidRPr="001E5FF8">
        <w:rPr>
          <w:rFonts w:ascii="Times New Roman" w:eastAsia="Times New Roman" w:hAnsi="Times New Roman" w:cs="Times New Roman"/>
          <w:color w:val="1F497D"/>
          <w:kern w:val="0"/>
          <w:sz w:val="20"/>
          <w:szCs w:val="20"/>
          <w:lang w:eastAsia="en-IN"/>
          <w14:ligatures w14:val="none"/>
        </w:rPr>
        <w:t xml:space="preserve"> sustainability of social security schemes.</w:t>
      </w:r>
      <w:r w:rsidR="0004222E" w:rsidRPr="001E5FF8">
        <w:rPr>
          <w:rFonts w:ascii="Times New Roman" w:eastAsia="Times New Roman" w:hAnsi="Times New Roman" w:cs="Times New Roman"/>
          <w:color w:val="1F497D"/>
          <w:kern w:val="0"/>
          <w:sz w:val="20"/>
          <w:szCs w:val="20"/>
          <w:lang w:eastAsia="en-IN"/>
          <w14:ligatures w14:val="none"/>
        </w:rPr>
        <w:t xml:space="preserve"> </w:t>
      </w:r>
      <w:r w:rsidR="00C86FA5" w:rsidRPr="001E5FF8">
        <w:rPr>
          <w:rFonts w:ascii="Times New Roman" w:eastAsia="Times New Roman" w:hAnsi="Times New Roman" w:cs="Times New Roman"/>
          <w:color w:val="1F497D"/>
          <w:kern w:val="0"/>
          <w:sz w:val="20"/>
          <w:szCs w:val="20"/>
          <w:lang w:eastAsia="en-IN"/>
          <w14:ligatures w14:val="none"/>
        </w:rPr>
        <w:t>Globally, the World Bank</w:t>
      </w:r>
      <w:r w:rsidR="00CA64EB" w:rsidRPr="001E5FF8">
        <w:rPr>
          <w:rFonts w:ascii="Times New Roman" w:eastAsia="Times New Roman" w:hAnsi="Times New Roman" w:cs="Times New Roman"/>
          <w:color w:val="1F497D"/>
          <w:kern w:val="0"/>
          <w:sz w:val="20"/>
          <w:szCs w:val="20"/>
          <w:lang w:eastAsia="en-IN"/>
          <w14:ligatures w14:val="none"/>
        </w:rPr>
        <w:t xml:space="preserve"> </w:t>
      </w:r>
      <w:proofErr w:type="gramStart"/>
      <w:r w:rsidR="00CA64EB" w:rsidRPr="001E5FF8">
        <w:rPr>
          <w:rFonts w:ascii="Times New Roman" w:eastAsia="Times New Roman" w:hAnsi="Times New Roman" w:cs="Times New Roman"/>
          <w:color w:val="1F497D"/>
          <w:kern w:val="0"/>
          <w:sz w:val="20"/>
          <w:szCs w:val="20"/>
          <w:lang w:eastAsia="en-IN"/>
          <w14:ligatures w14:val="none"/>
        </w:rPr>
        <w:t xml:space="preserve">report </w:t>
      </w:r>
      <w:r w:rsidR="00C86FA5" w:rsidRPr="001E5FF8">
        <w:rPr>
          <w:rFonts w:ascii="Times New Roman" w:eastAsia="Times New Roman" w:hAnsi="Times New Roman" w:cs="Times New Roman"/>
          <w:color w:val="1F497D"/>
          <w:kern w:val="0"/>
          <w:sz w:val="20"/>
          <w:szCs w:val="20"/>
          <w:lang w:eastAsia="en-IN"/>
          <w14:ligatures w14:val="none"/>
        </w:rPr>
        <w:t xml:space="preserve"> (</w:t>
      </w:r>
      <w:proofErr w:type="gramEnd"/>
      <w:r w:rsidR="00C86FA5" w:rsidRPr="001E5FF8">
        <w:rPr>
          <w:rFonts w:ascii="Times New Roman" w:eastAsia="Times New Roman" w:hAnsi="Times New Roman" w:cs="Times New Roman"/>
          <w:color w:val="1F497D"/>
          <w:kern w:val="0"/>
          <w:sz w:val="20"/>
          <w:szCs w:val="20"/>
          <w:lang w:eastAsia="en-IN"/>
          <w14:ligatures w14:val="none"/>
        </w:rPr>
        <w:t xml:space="preserve">2020) have </w:t>
      </w:r>
      <w:r w:rsidR="009579A6" w:rsidRPr="001E5FF8">
        <w:rPr>
          <w:rFonts w:ascii="Times New Roman" w:eastAsia="Times New Roman" w:hAnsi="Times New Roman" w:cs="Times New Roman"/>
          <w:color w:val="1F497D"/>
          <w:kern w:val="0"/>
          <w:sz w:val="20"/>
          <w:szCs w:val="20"/>
          <w:lang w:eastAsia="en-IN"/>
          <w14:ligatures w14:val="none"/>
        </w:rPr>
        <w:t>signified</w:t>
      </w:r>
      <w:r w:rsidR="00C86FA5" w:rsidRPr="001E5FF8">
        <w:rPr>
          <w:rFonts w:ascii="Times New Roman" w:eastAsia="Times New Roman" w:hAnsi="Times New Roman" w:cs="Times New Roman"/>
          <w:color w:val="1F497D"/>
          <w:kern w:val="0"/>
          <w:sz w:val="20"/>
          <w:szCs w:val="20"/>
          <w:lang w:eastAsia="en-IN"/>
          <w14:ligatures w14:val="none"/>
        </w:rPr>
        <w:t xml:space="preserve"> that microinsurance and social protection initiatives must balance accessibility and sustainability.</w:t>
      </w:r>
      <w:r w:rsidR="009579A6" w:rsidRPr="001E5FF8">
        <w:rPr>
          <w:rFonts w:ascii="Times New Roman" w:eastAsia="Times New Roman" w:hAnsi="Times New Roman" w:cs="Times New Roman"/>
          <w:color w:val="1F497D"/>
          <w:kern w:val="0"/>
          <w:sz w:val="20"/>
          <w:szCs w:val="20"/>
          <w:lang w:eastAsia="en-IN"/>
          <w14:ligatures w14:val="none"/>
        </w:rPr>
        <w:t xml:space="preserve"> Although earlier studies have examined the demand and supply side challenges, there is limited evidence integrating these dimensions into a comprehensive model. The prior studies used descriptive analyses, less advanced techniques such as Factor Analysis or Structural Equation Modelling to examine the interrelationship among key factors that were not measured. The present study addresses this gap by forming an integrated model of the challenges faced in selling social security schemes. </w:t>
      </w:r>
    </w:p>
    <w:p w14:paraId="3A3A1CE1" w14:textId="77777777" w:rsidR="001E5FF8" w:rsidRPr="001E5FF8" w:rsidRDefault="001E5FF8"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7DAF7149" w14:textId="77777777" w:rsidR="009F667F" w:rsidRPr="001E5FF8" w:rsidRDefault="009F667F" w:rsidP="001E5FF8">
      <w:pPr>
        <w:pStyle w:val="Heading1"/>
        <w:spacing w:before="0" w:after="0" w:line="240" w:lineRule="auto"/>
        <w:jc w:val="both"/>
        <w:rPr>
          <w:rFonts w:ascii="Times New Roman" w:eastAsia="Times New Roman" w:hAnsi="Times New Roman" w:cs="Times New Roman"/>
          <w:b/>
          <w:bCs/>
          <w:color w:val="1F497D"/>
          <w:sz w:val="20"/>
          <w:szCs w:val="20"/>
          <w:lang w:eastAsia="en-IN"/>
        </w:rPr>
      </w:pPr>
      <w:r w:rsidRPr="001E5FF8">
        <w:rPr>
          <w:rFonts w:ascii="Times New Roman" w:eastAsia="Times New Roman" w:hAnsi="Times New Roman" w:cs="Times New Roman"/>
          <w:b/>
          <w:bCs/>
          <w:color w:val="1F497D"/>
          <w:sz w:val="20"/>
          <w:szCs w:val="20"/>
          <w:lang w:eastAsia="en-IN"/>
        </w:rPr>
        <w:t xml:space="preserve">Research Objectives </w:t>
      </w:r>
    </w:p>
    <w:p w14:paraId="6DC1B695" w14:textId="0B88EC72" w:rsidR="009F667F" w:rsidRPr="001E5FF8" w:rsidRDefault="009F667F"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The Study aims to investigate the major </w:t>
      </w:r>
      <w:r w:rsidR="00207B29" w:rsidRPr="001E5FF8">
        <w:rPr>
          <w:rFonts w:ascii="Times New Roman" w:eastAsia="Times New Roman" w:hAnsi="Times New Roman" w:cs="Times New Roman"/>
          <w:color w:val="1F497D"/>
          <w:kern w:val="0"/>
          <w:sz w:val="20"/>
          <w:szCs w:val="20"/>
          <w:lang w:eastAsia="en-IN"/>
          <w14:ligatures w14:val="none"/>
        </w:rPr>
        <w:t>factors</w:t>
      </w:r>
      <w:r w:rsidRPr="001E5FF8">
        <w:rPr>
          <w:rFonts w:ascii="Times New Roman" w:eastAsia="Times New Roman" w:hAnsi="Times New Roman" w:cs="Times New Roman"/>
          <w:color w:val="1F497D"/>
          <w:kern w:val="0"/>
          <w:sz w:val="20"/>
          <w:szCs w:val="20"/>
          <w:lang w:eastAsia="en-IN"/>
          <w14:ligatures w14:val="none"/>
        </w:rPr>
        <w:t xml:space="preserve"> faced by intermediaries in selling social security schemes and to model the underlying factors influencing </w:t>
      </w:r>
      <w:r w:rsidR="00207B29" w:rsidRPr="001E5FF8">
        <w:rPr>
          <w:rFonts w:ascii="Times New Roman" w:eastAsia="Times New Roman" w:hAnsi="Times New Roman" w:cs="Times New Roman"/>
          <w:color w:val="1F497D"/>
          <w:kern w:val="0"/>
          <w:sz w:val="20"/>
          <w:szCs w:val="20"/>
          <w:lang w:eastAsia="en-IN"/>
          <w14:ligatures w14:val="none"/>
        </w:rPr>
        <w:t xml:space="preserve">intermediaries’ performance by using </w:t>
      </w:r>
      <w:r w:rsidRPr="001E5FF8">
        <w:rPr>
          <w:rFonts w:ascii="Times New Roman" w:eastAsia="Times New Roman" w:hAnsi="Times New Roman" w:cs="Times New Roman"/>
          <w:color w:val="1F497D"/>
          <w:kern w:val="0"/>
          <w:sz w:val="20"/>
          <w:szCs w:val="20"/>
          <w:lang w:eastAsia="en-IN"/>
          <w14:ligatures w14:val="none"/>
        </w:rPr>
        <w:t>advanced statistical techniques.</w:t>
      </w:r>
    </w:p>
    <w:p w14:paraId="3B2F0107" w14:textId="77777777" w:rsidR="00BC56E3" w:rsidRPr="001E5FF8" w:rsidRDefault="00BC56E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680DEDFF" w14:textId="1E0EBAC1" w:rsidR="00BC56E3" w:rsidRPr="001E5FF8" w:rsidRDefault="00757E5A" w:rsidP="001E5FF8">
      <w:pPr>
        <w:pStyle w:val="Heading1"/>
        <w:spacing w:before="0" w:after="0" w:line="240" w:lineRule="auto"/>
        <w:jc w:val="both"/>
        <w:rPr>
          <w:rFonts w:ascii="Times New Roman" w:eastAsia="Times New Roman" w:hAnsi="Times New Roman" w:cs="Times New Roman"/>
          <w:b/>
          <w:bCs/>
          <w:color w:val="1F497D"/>
          <w:sz w:val="20"/>
          <w:szCs w:val="20"/>
          <w:lang w:eastAsia="en-IN"/>
        </w:rPr>
      </w:pPr>
      <w:r w:rsidRPr="001E5FF8">
        <w:rPr>
          <w:rFonts w:ascii="Times New Roman" w:eastAsia="Times New Roman" w:hAnsi="Times New Roman" w:cs="Times New Roman"/>
          <w:b/>
          <w:bCs/>
          <w:color w:val="1F497D"/>
          <w:sz w:val="20"/>
          <w:szCs w:val="20"/>
          <w:lang w:eastAsia="en-IN"/>
        </w:rPr>
        <w:t xml:space="preserve">RESEARCH METHODOLOGY </w:t>
      </w:r>
    </w:p>
    <w:p w14:paraId="3A8A6281" w14:textId="448C14B4" w:rsidR="00BC56E3" w:rsidRDefault="00BC56E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This study adopts a quantitative Research design to investigate the major </w:t>
      </w:r>
      <w:r w:rsidR="00207B29" w:rsidRPr="001E5FF8">
        <w:rPr>
          <w:rFonts w:ascii="Times New Roman" w:eastAsia="Times New Roman" w:hAnsi="Times New Roman" w:cs="Times New Roman"/>
          <w:color w:val="1F497D"/>
          <w:kern w:val="0"/>
          <w:sz w:val="20"/>
          <w:szCs w:val="20"/>
          <w:lang w:eastAsia="en-IN"/>
          <w14:ligatures w14:val="none"/>
        </w:rPr>
        <w:t>factors</w:t>
      </w:r>
      <w:r w:rsidRPr="001E5FF8">
        <w:rPr>
          <w:rFonts w:ascii="Times New Roman" w:eastAsia="Times New Roman" w:hAnsi="Times New Roman" w:cs="Times New Roman"/>
          <w:color w:val="1F497D"/>
          <w:kern w:val="0"/>
          <w:sz w:val="20"/>
          <w:szCs w:val="20"/>
          <w:lang w:eastAsia="en-IN"/>
          <w14:ligatures w14:val="none"/>
        </w:rPr>
        <w:t xml:space="preserve"> faced by the intermediaries in selling social security schemes. The study is based on Primary data gathered from </w:t>
      </w:r>
      <w:r w:rsidR="006F6CCE" w:rsidRPr="001E5FF8">
        <w:rPr>
          <w:rFonts w:ascii="Times New Roman" w:eastAsia="Times New Roman" w:hAnsi="Times New Roman" w:cs="Times New Roman"/>
          <w:color w:val="1F497D"/>
          <w:kern w:val="0"/>
          <w:sz w:val="20"/>
          <w:szCs w:val="20"/>
          <w:lang w:eastAsia="en-IN"/>
          <w14:ligatures w14:val="none"/>
        </w:rPr>
        <w:t>3</w:t>
      </w:r>
      <w:r w:rsidRPr="001E5FF8">
        <w:rPr>
          <w:rFonts w:ascii="Times New Roman" w:eastAsia="Times New Roman" w:hAnsi="Times New Roman" w:cs="Times New Roman"/>
          <w:color w:val="1F497D"/>
          <w:kern w:val="0"/>
          <w:sz w:val="20"/>
          <w:szCs w:val="20"/>
          <w:lang w:eastAsia="en-IN"/>
          <w14:ligatures w14:val="none"/>
        </w:rPr>
        <w:t xml:space="preserve">00 respondents through structured questionnaires administered to intermediaries </w:t>
      </w:r>
      <w:r w:rsidRPr="001E5FF8">
        <w:rPr>
          <w:rFonts w:ascii="Times New Roman" w:eastAsia="Times New Roman" w:hAnsi="Times New Roman" w:cs="Times New Roman"/>
          <w:color w:val="1F497D"/>
          <w:kern w:val="0"/>
          <w:sz w:val="20"/>
          <w:szCs w:val="20"/>
          <w:lang w:eastAsia="en-IN"/>
          <w14:ligatures w14:val="none"/>
        </w:rPr>
        <w:t>in promoting social security schemes such as Pradhan Mantri Jeevan Jyoti Bima Yojana, Pradhan Mantri Suraksha Bima Yojana and Atal Pension Yojana. The questionnaires included 13 indicators based on a Likert scale related to operational challenges identified by earlier studies and a pilot test for content validity.</w:t>
      </w:r>
    </w:p>
    <w:p w14:paraId="5AB3B7D7" w14:textId="77777777" w:rsidR="00757E5A" w:rsidRPr="001E5FF8"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0A9A913B" w14:textId="34305BD3" w:rsidR="00BA79B1" w:rsidRPr="001E5FF8" w:rsidRDefault="00BC56E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For statistical analysis, the researcher utilised IBM SPSS Statistics version 26.0</w:t>
      </w:r>
      <w:r w:rsidR="00453CC6" w:rsidRPr="001E5FF8">
        <w:rPr>
          <w:rFonts w:ascii="Times New Roman" w:eastAsia="Times New Roman" w:hAnsi="Times New Roman" w:cs="Times New Roman"/>
          <w:color w:val="1F497D"/>
          <w:kern w:val="0"/>
          <w:sz w:val="20"/>
          <w:szCs w:val="20"/>
          <w:lang w:eastAsia="en-IN"/>
          <w14:ligatures w14:val="none"/>
        </w:rPr>
        <w:t xml:space="preserve"> </w:t>
      </w:r>
      <w:r w:rsidRPr="001E5FF8">
        <w:rPr>
          <w:rFonts w:ascii="Times New Roman" w:eastAsia="Times New Roman" w:hAnsi="Times New Roman" w:cs="Times New Roman"/>
          <w:color w:val="1F497D"/>
          <w:kern w:val="0"/>
          <w:sz w:val="20"/>
          <w:szCs w:val="20"/>
          <w:lang w:eastAsia="en-IN"/>
          <w14:ligatures w14:val="none"/>
        </w:rPr>
        <w:t>for processing descriptive</w:t>
      </w:r>
      <w:r w:rsidR="006F6CCE" w:rsidRPr="001E5FF8">
        <w:rPr>
          <w:rFonts w:ascii="Times New Roman" w:eastAsia="Times New Roman" w:hAnsi="Times New Roman" w:cs="Times New Roman"/>
          <w:color w:val="1F497D"/>
          <w:kern w:val="0"/>
          <w:sz w:val="20"/>
          <w:szCs w:val="20"/>
          <w:lang w:eastAsia="en-IN"/>
          <w14:ligatures w14:val="none"/>
        </w:rPr>
        <w:t xml:space="preserve"> statistics, factor analysis and </w:t>
      </w:r>
      <w:r w:rsidRPr="001E5FF8">
        <w:rPr>
          <w:rFonts w:ascii="Times New Roman" w:eastAsia="Times New Roman" w:hAnsi="Times New Roman" w:cs="Times New Roman"/>
          <w:color w:val="1F497D"/>
          <w:kern w:val="0"/>
          <w:sz w:val="20"/>
          <w:szCs w:val="20"/>
          <w:lang w:eastAsia="en-IN"/>
          <w14:ligatures w14:val="none"/>
        </w:rPr>
        <w:t>inferential statistics.</w:t>
      </w:r>
      <w:r w:rsidR="006F6CCE" w:rsidRPr="001E5FF8">
        <w:rPr>
          <w:rFonts w:ascii="Times New Roman" w:eastAsia="Times New Roman" w:hAnsi="Times New Roman" w:cs="Times New Roman"/>
          <w:color w:val="1F497D"/>
          <w:kern w:val="0"/>
          <w:sz w:val="20"/>
          <w:szCs w:val="20"/>
          <w:lang w:eastAsia="en-IN"/>
          <w14:ligatures w14:val="none"/>
        </w:rPr>
        <w:t xml:space="preserve"> </w:t>
      </w:r>
      <w:r w:rsidR="00453CC6" w:rsidRPr="001E5FF8">
        <w:rPr>
          <w:rFonts w:ascii="Times New Roman" w:eastAsia="Times New Roman" w:hAnsi="Times New Roman" w:cs="Times New Roman"/>
          <w:color w:val="1F497D"/>
          <w:kern w:val="0"/>
          <w:sz w:val="20"/>
          <w:szCs w:val="20"/>
          <w:lang w:eastAsia="en-IN"/>
          <w14:ligatures w14:val="none"/>
        </w:rPr>
        <w:t xml:space="preserve">Additionally, Structural Equation Modelling (SEM) </w:t>
      </w:r>
      <w:r w:rsidR="00034BFE" w:rsidRPr="001E5FF8">
        <w:rPr>
          <w:rFonts w:ascii="Times New Roman" w:eastAsia="Times New Roman" w:hAnsi="Times New Roman" w:cs="Times New Roman"/>
          <w:color w:val="1F497D"/>
          <w:kern w:val="0"/>
          <w:sz w:val="20"/>
          <w:szCs w:val="20"/>
          <w:lang w:eastAsia="en-IN"/>
          <w14:ligatures w14:val="none"/>
        </w:rPr>
        <w:t>through IBM</w:t>
      </w:r>
      <w:r w:rsidR="00C13F8D" w:rsidRPr="001E5FF8">
        <w:rPr>
          <w:rFonts w:ascii="Times New Roman" w:eastAsia="Times New Roman" w:hAnsi="Times New Roman" w:cs="Times New Roman"/>
          <w:color w:val="1F497D"/>
          <w:kern w:val="0"/>
          <w:sz w:val="20"/>
          <w:szCs w:val="20"/>
          <w:lang w:eastAsia="en-IN"/>
          <w14:ligatures w14:val="none"/>
        </w:rPr>
        <w:t xml:space="preserve"> SPSS</w:t>
      </w:r>
      <w:r w:rsidR="00034BFE" w:rsidRPr="001E5FF8">
        <w:rPr>
          <w:rFonts w:ascii="Times New Roman" w:eastAsia="Times New Roman" w:hAnsi="Times New Roman" w:cs="Times New Roman"/>
          <w:color w:val="1F497D"/>
          <w:kern w:val="0"/>
          <w:sz w:val="20"/>
          <w:szCs w:val="20"/>
          <w:lang w:eastAsia="en-IN"/>
          <w14:ligatures w14:val="none"/>
        </w:rPr>
        <w:t xml:space="preserve"> AMOS Graphics 26 </w:t>
      </w:r>
      <w:r w:rsidR="00453CC6" w:rsidRPr="001E5FF8">
        <w:rPr>
          <w:rFonts w:ascii="Times New Roman" w:eastAsia="Times New Roman" w:hAnsi="Times New Roman" w:cs="Times New Roman"/>
          <w:color w:val="1F497D"/>
          <w:kern w:val="0"/>
          <w:sz w:val="20"/>
          <w:szCs w:val="20"/>
          <w:lang w:eastAsia="en-IN"/>
          <w14:ligatures w14:val="none"/>
        </w:rPr>
        <w:t xml:space="preserve">was used to test the hypothesised relationship among the identified dimensions </w:t>
      </w:r>
      <w:r w:rsidR="006F6CCE" w:rsidRPr="001E5FF8">
        <w:rPr>
          <w:rFonts w:ascii="Times New Roman" w:eastAsia="Times New Roman" w:hAnsi="Times New Roman" w:cs="Times New Roman"/>
          <w:color w:val="1F497D"/>
          <w:kern w:val="0"/>
          <w:sz w:val="20"/>
          <w:szCs w:val="20"/>
          <w:lang w:eastAsia="en-IN"/>
          <w14:ligatures w14:val="none"/>
        </w:rPr>
        <w:t xml:space="preserve">contributing towards improving </w:t>
      </w:r>
      <w:r w:rsidR="00C663CE" w:rsidRPr="001E5FF8">
        <w:rPr>
          <w:rFonts w:ascii="Times New Roman" w:eastAsia="Times New Roman" w:hAnsi="Times New Roman" w:cs="Times New Roman"/>
          <w:color w:val="1F497D"/>
          <w:kern w:val="0"/>
          <w:sz w:val="20"/>
          <w:szCs w:val="20"/>
          <w:lang w:eastAsia="en-IN"/>
          <w14:ligatures w14:val="none"/>
        </w:rPr>
        <w:t>intermediaries'</w:t>
      </w:r>
      <w:r w:rsidR="006F6CCE" w:rsidRPr="001E5FF8">
        <w:rPr>
          <w:rFonts w:ascii="Times New Roman" w:eastAsia="Times New Roman" w:hAnsi="Times New Roman" w:cs="Times New Roman"/>
          <w:color w:val="1F497D"/>
          <w:kern w:val="0"/>
          <w:sz w:val="20"/>
          <w:szCs w:val="20"/>
          <w:lang w:eastAsia="en-IN"/>
          <w14:ligatures w14:val="none"/>
        </w:rPr>
        <w:t xml:space="preserve"> performance</w:t>
      </w:r>
      <w:r w:rsidR="00453CC6" w:rsidRPr="001E5FF8">
        <w:rPr>
          <w:rFonts w:ascii="Times New Roman" w:eastAsia="Times New Roman" w:hAnsi="Times New Roman" w:cs="Times New Roman"/>
          <w:color w:val="1F497D"/>
          <w:kern w:val="0"/>
          <w:sz w:val="20"/>
          <w:szCs w:val="20"/>
          <w:lang w:eastAsia="en-IN"/>
          <w14:ligatures w14:val="none"/>
        </w:rPr>
        <w:t>.</w:t>
      </w:r>
    </w:p>
    <w:p w14:paraId="5451D910" w14:textId="77777777" w:rsidR="00453CC6" w:rsidRPr="001E5FF8" w:rsidRDefault="00453CC6"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394F7CD5" w14:textId="541BABAF" w:rsidR="00453CC6" w:rsidRPr="001E5FF8" w:rsidRDefault="00453CC6" w:rsidP="001E5FF8">
      <w:pPr>
        <w:pStyle w:val="Heading1"/>
        <w:spacing w:before="0" w:after="0" w:line="240" w:lineRule="auto"/>
        <w:jc w:val="both"/>
        <w:rPr>
          <w:rFonts w:ascii="Times New Roman" w:eastAsia="Times New Roman" w:hAnsi="Times New Roman" w:cs="Times New Roman"/>
          <w:b/>
          <w:bCs/>
          <w:color w:val="1F497D"/>
          <w:sz w:val="20"/>
          <w:szCs w:val="20"/>
          <w:lang w:eastAsia="en-IN"/>
        </w:rPr>
      </w:pPr>
      <w:r w:rsidRPr="001E5FF8">
        <w:rPr>
          <w:rFonts w:ascii="Times New Roman" w:eastAsia="Times New Roman" w:hAnsi="Times New Roman" w:cs="Times New Roman"/>
          <w:b/>
          <w:bCs/>
          <w:color w:val="1F497D"/>
          <w:sz w:val="20"/>
          <w:szCs w:val="20"/>
          <w:lang w:eastAsia="en-IN"/>
        </w:rPr>
        <w:t xml:space="preserve">Data Analysis and Interpretation </w:t>
      </w:r>
    </w:p>
    <w:p w14:paraId="205AF960" w14:textId="77777777" w:rsidR="00757E5A" w:rsidRDefault="00B02F3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The frequency distribution of the study discloses that most respondents rated financial illiteracy, lack of awareness, difficulty in convincing the customers, claim settlement delays and digital issues as major and significant factors. This indicates that these factors are commonly experienced and affect intermediaries' performance. Descriptive statistics show mean scores ranging between 3.5 and 3.8, suggesting respondents consider all these variables as significant challenges.</w:t>
      </w:r>
      <w:r w:rsidR="001E09D9" w:rsidRPr="001E5FF8">
        <w:rPr>
          <w:rFonts w:ascii="Times New Roman" w:eastAsia="Times New Roman" w:hAnsi="Times New Roman" w:cs="Times New Roman"/>
          <w:color w:val="1F497D"/>
          <w:kern w:val="0"/>
          <w:sz w:val="20"/>
          <w:szCs w:val="20"/>
          <w:lang w:eastAsia="en-IN"/>
          <w14:ligatures w14:val="none"/>
        </w:rPr>
        <w:t xml:space="preserve"> The Principal Component Analysis with varimax rotation identified three significant components that collectively explain the major factor influencing the performance of intermediaries in selling social security schemes.</w:t>
      </w:r>
      <w:r w:rsidR="005E40D7" w:rsidRPr="001E5FF8">
        <w:rPr>
          <w:rFonts w:ascii="Times New Roman" w:eastAsia="Times New Roman" w:hAnsi="Times New Roman" w:cs="Times New Roman"/>
          <w:color w:val="1F497D"/>
          <w:kern w:val="0"/>
          <w:sz w:val="20"/>
          <w:szCs w:val="20"/>
          <w:lang w:eastAsia="en-IN"/>
          <w14:ligatures w14:val="none"/>
        </w:rPr>
        <w:t xml:space="preserve"> The KMO measure of sampling adequacy shows the value of </w:t>
      </w:r>
      <w:r w:rsidR="00F40CBE" w:rsidRPr="001E5FF8">
        <w:rPr>
          <w:rFonts w:ascii="Times New Roman" w:eastAsia="Times New Roman" w:hAnsi="Times New Roman" w:cs="Times New Roman"/>
          <w:color w:val="1F497D"/>
          <w:kern w:val="0"/>
          <w:sz w:val="20"/>
          <w:szCs w:val="20"/>
          <w:lang w:eastAsia="en-IN"/>
          <w14:ligatures w14:val="none"/>
        </w:rPr>
        <w:t xml:space="preserve">the </w:t>
      </w:r>
      <w:r w:rsidR="005E40D7" w:rsidRPr="001E5FF8">
        <w:rPr>
          <w:rFonts w:ascii="Times New Roman" w:eastAsia="Times New Roman" w:hAnsi="Times New Roman" w:cs="Times New Roman"/>
          <w:color w:val="1F497D"/>
          <w:kern w:val="0"/>
          <w:sz w:val="20"/>
          <w:szCs w:val="20"/>
          <w:lang w:eastAsia="en-IN"/>
          <w14:ligatures w14:val="none"/>
        </w:rPr>
        <w:t xml:space="preserve">test </w:t>
      </w:r>
      <w:r w:rsidR="00F40CBE" w:rsidRPr="001E5FF8">
        <w:rPr>
          <w:rFonts w:ascii="Times New Roman" w:eastAsia="Times New Roman" w:hAnsi="Times New Roman" w:cs="Times New Roman"/>
          <w:color w:val="1F497D"/>
          <w:kern w:val="0"/>
          <w:sz w:val="20"/>
          <w:szCs w:val="20"/>
          <w:lang w:eastAsia="en-IN"/>
          <w14:ligatures w14:val="none"/>
        </w:rPr>
        <w:t>statistic</w:t>
      </w:r>
      <w:r w:rsidR="005E40D7" w:rsidRPr="001E5FF8">
        <w:rPr>
          <w:rFonts w:ascii="Times New Roman" w:eastAsia="Times New Roman" w:hAnsi="Times New Roman" w:cs="Times New Roman"/>
          <w:color w:val="1F497D"/>
          <w:kern w:val="0"/>
          <w:sz w:val="20"/>
          <w:szCs w:val="20"/>
          <w:lang w:eastAsia="en-IN"/>
          <w14:ligatures w14:val="none"/>
        </w:rPr>
        <w:t xml:space="preserve"> as 0.836 was taken as acceptable, and Bartlett’s test was significant with p = 0.000, being less than 0.05. The variable which emerges in </w:t>
      </w:r>
      <w:r w:rsidR="00F40CBE" w:rsidRPr="001E5FF8">
        <w:rPr>
          <w:rFonts w:ascii="Times New Roman" w:eastAsia="Times New Roman" w:hAnsi="Times New Roman" w:cs="Times New Roman"/>
          <w:color w:val="1F497D"/>
          <w:kern w:val="0"/>
          <w:sz w:val="20"/>
          <w:szCs w:val="20"/>
          <w:lang w:eastAsia="en-IN"/>
          <w14:ligatures w14:val="none"/>
        </w:rPr>
        <w:t xml:space="preserve">the respective factors are shown in the rotated components matrix table, which explain the variable loading in each factor. </w:t>
      </w:r>
    </w:p>
    <w:p w14:paraId="5690D2A7" w14:textId="77777777" w:rsidR="00757E5A" w:rsidRDefault="00757E5A"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p w14:paraId="16964365" w14:textId="5D1DAD5E" w:rsidR="00D06246" w:rsidRDefault="00F40CBE" w:rsidP="001E5FF8">
      <w:pPr>
        <w:spacing w:after="0" w:line="240" w:lineRule="auto"/>
        <w:jc w:val="both"/>
        <w:rPr>
          <w:rFonts w:ascii="Times New Roman" w:hAnsi="Times New Roman" w:cs="Times New Roman"/>
          <w:color w:val="1F497D"/>
          <w:sz w:val="20"/>
          <w:szCs w:val="20"/>
        </w:rPr>
      </w:pPr>
      <w:r w:rsidRPr="001E5FF8">
        <w:rPr>
          <w:rFonts w:ascii="Times New Roman" w:eastAsia="Times New Roman" w:hAnsi="Times New Roman" w:cs="Times New Roman"/>
          <w:color w:val="1F497D"/>
          <w:kern w:val="0"/>
          <w:sz w:val="20"/>
          <w:szCs w:val="20"/>
          <w:lang w:eastAsia="en-IN"/>
          <w14:ligatures w14:val="none"/>
        </w:rPr>
        <w:t>The first set of factors encompasses financial illiteracy (0.861), lack of awareness among people (0.843), difficulty in convincing the customers (0.790)</w:t>
      </w:r>
      <w:r w:rsidRPr="001E5FF8">
        <w:rPr>
          <w:rFonts w:ascii="Times New Roman" w:hAnsi="Times New Roman" w:cs="Times New Roman"/>
          <w:color w:val="1F497D"/>
          <w:sz w:val="20"/>
          <w:szCs w:val="20"/>
        </w:rPr>
        <w:t>, low-income market (0.721), competition from private insurance (o.641), and misconception about insurance (0.620).</w:t>
      </w:r>
      <w:r w:rsidR="000C78B3" w:rsidRPr="001E5FF8">
        <w:rPr>
          <w:rFonts w:ascii="Times New Roman" w:hAnsi="Times New Roman" w:cs="Times New Roman"/>
          <w:color w:val="1F497D"/>
          <w:sz w:val="20"/>
          <w:szCs w:val="20"/>
        </w:rPr>
        <w:t xml:space="preserve"> These indicators </w:t>
      </w:r>
      <w:r w:rsidR="003844FC">
        <w:rPr>
          <w:rFonts w:ascii="Times New Roman" w:hAnsi="Times New Roman" w:cs="Times New Roman"/>
          <w:color w:val="1F497D"/>
          <w:sz w:val="20"/>
          <w:szCs w:val="20"/>
        </w:rPr>
        <w:t>were</w:t>
      </w:r>
      <w:r w:rsidR="000C78B3" w:rsidRPr="001E5FF8">
        <w:rPr>
          <w:rFonts w:ascii="Times New Roman" w:hAnsi="Times New Roman" w:cs="Times New Roman"/>
          <w:color w:val="1F497D"/>
          <w:sz w:val="20"/>
          <w:szCs w:val="20"/>
        </w:rPr>
        <w:t xml:space="preserve"> named Awareness &amp; Market Perception</w:t>
      </w:r>
      <w:r w:rsidR="00DB3C60" w:rsidRPr="001E5FF8">
        <w:rPr>
          <w:rFonts w:ascii="Times New Roman" w:hAnsi="Times New Roman" w:cs="Times New Roman"/>
          <w:color w:val="1F497D"/>
          <w:sz w:val="20"/>
          <w:szCs w:val="20"/>
        </w:rPr>
        <w:t>,</w:t>
      </w:r>
      <w:r w:rsidR="000C78B3" w:rsidRPr="001E5FF8">
        <w:rPr>
          <w:rFonts w:ascii="Times New Roman" w:hAnsi="Times New Roman" w:cs="Times New Roman"/>
          <w:color w:val="1F497D"/>
          <w:sz w:val="20"/>
          <w:szCs w:val="20"/>
        </w:rPr>
        <w:t xml:space="preserve"> which highlight that low financial awareness, customer misconceptions, and market competition slow down </w:t>
      </w:r>
      <w:r w:rsidR="00DB3C60" w:rsidRPr="001E5FF8">
        <w:rPr>
          <w:rFonts w:ascii="Times New Roman" w:hAnsi="Times New Roman" w:cs="Times New Roman"/>
          <w:color w:val="1F497D"/>
          <w:sz w:val="20"/>
          <w:szCs w:val="20"/>
        </w:rPr>
        <w:t>intermediaries’</w:t>
      </w:r>
      <w:r w:rsidR="000C78B3" w:rsidRPr="001E5FF8">
        <w:rPr>
          <w:rFonts w:ascii="Times New Roman" w:hAnsi="Times New Roman" w:cs="Times New Roman"/>
          <w:color w:val="1F497D"/>
          <w:sz w:val="20"/>
          <w:szCs w:val="20"/>
        </w:rPr>
        <w:t xml:space="preserve"> outreach and performance. The second set of factors includes customer </w:t>
      </w:r>
      <w:r w:rsidR="00DB3C60" w:rsidRPr="001E5FF8">
        <w:rPr>
          <w:rFonts w:ascii="Times New Roman" w:hAnsi="Times New Roman" w:cs="Times New Roman"/>
          <w:color w:val="1F497D"/>
          <w:sz w:val="20"/>
          <w:szCs w:val="20"/>
        </w:rPr>
        <w:t>expectations of</w:t>
      </w:r>
      <w:r w:rsidR="000C78B3" w:rsidRPr="001E5FF8">
        <w:rPr>
          <w:rFonts w:ascii="Times New Roman" w:hAnsi="Times New Roman" w:cs="Times New Roman"/>
          <w:color w:val="1F497D"/>
          <w:sz w:val="20"/>
          <w:szCs w:val="20"/>
        </w:rPr>
        <w:t xml:space="preserve"> benefits even if no claim occurs (0.850), claim settlement delays (0.849) and overlap between </w:t>
      </w:r>
      <w:r w:rsidR="00DB3C60" w:rsidRPr="001E5FF8">
        <w:rPr>
          <w:rFonts w:ascii="Times New Roman" w:hAnsi="Times New Roman" w:cs="Times New Roman"/>
          <w:color w:val="1F497D"/>
          <w:sz w:val="20"/>
          <w:szCs w:val="20"/>
        </w:rPr>
        <w:t xml:space="preserve">Schemes </w:t>
      </w:r>
      <w:r w:rsidR="000C78B3" w:rsidRPr="001E5FF8">
        <w:rPr>
          <w:rFonts w:ascii="Times New Roman" w:hAnsi="Times New Roman" w:cs="Times New Roman"/>
          <w:color w:val="1F497D"/>
          <w:sz w:val="20"/>
          <w:szCs w:val="20"/>
        </w:rPr>
        <w:t>(0.609)</w:t>
      </w:r>
      <w:r w:rsidR="00DB3C60" w:rsidRPr="001E5FF8">
        <w:rPr>
          <w:rFonts w:ascii="Times New Roman" w:hAnsi="Times New Roman" w:cs="Times New Roman"/>
          <w:color w:val="1F497D"/>
          <w:sz w:val="20"/>
          <w:szCs w:val="20"/>
        </w:rPr>
        <w:t>, and it was named as Policy and Procedural factors, which reflects policy-level, claim-related inefficiencies and an insufficient motivational framework that restricts the intermediary’s efficiency. The third set of factors includes technical and digital issues in enrolment (0.842), lack of promotional material (0.806), insufficient training (0.613) and lack of incentives and recognition for intermediaries and was named as operational factors.</w:t>
      </w:r>
    </w:p>
    <w:p w14:paraId="6847E24C" w14:textId="77777777" w:rsidR="00757E5A" w:rsidRPr="001E5FF8" w:rsidRDefault="00757E5A" w:rsidP="001E5FF8">
      <w:pPr>
        <w:spacing w:after="0" w:line="240" w:lineRule="auto"/>
        <w:jc w:val="both"/>
        <w:rPr>
          <w:rFonts w:ascii="Times New Roman" w:hAnsi="Times New Roman" w:cs="Times New Roman"/>
          <w:color w:val="1F497D"/>
          <w:sz w:val="20"/>
          <w:szCs w:val="20"/>
        </w:rPr>
      </w:pPr>
    </w:p>
    <w:p w14:paraId="0E0D9B72" w14:textId="77777777" w:rsidR="00D31EAC" w:rsidRPr="001E5FF8" w:rsidRDefault="00DB3C60" w:rsidP="001E5FF8">
      <w:pPr>
        <w:spacing w:after="0" w:line="240" w:lineRule="auto"/>
        <w:jc w:val="both"/>
        <w:rPr>
          <w:rFonts w:ascii="Times New Roman" w:hAnsi="Times New Roman" w:cs="Times New Roman"/>
          <w:color w:val="1F497D"/>
          <w:sz w:val="20"/>
          <w:szCs w:val="20"/>
        </w:rPr>
      </w:pPr>
      <w:r w:rsidRPr="001E5FF8">
        <w:rPr>
          <w:rFonts w:ascii="Times New Roman" w:hAnsi="Times New Roman" w:cs="Times New Roman"/>
          <w:color w:val="1F497D"/>
          <w:sz w:val="20"/>
          <w:szCs w:val="20"/>
        </w:rPr>
        <w:t xml:space="preserve">Collectively, these three factors, which are Awareness &amp; Market Perception, Policy and Procedural, and </w:t>
      </w:r>
      <w:r w:rsidRPr="001E5FF8">
        <w:rPr>
          <w:rFonts w:ascii="Times New Roman" w:hAnsi="Times New Roman" w:cs="Times New Roman"/>
          <w:color w:val="1F497D"/>
          <w:sz w:val="20"/>
          <w:szCs w:val="20"/>
        </w:rPr>
        <w:lastRenderedPageBreak/>
        <w:t>operational, represent the key factors shaping Intermediaries’ Performance.</w:t>
      </w:r>
    </w:p>
    <w:p w14:paraId="5576150A" w14:textId="77777777" w:rsidR="001E5FF8" w:rsidRDefault="001E5FF8" w:rsidP="001E5FF8">
      <w:pPr>
        <w:pStyle w:val="Caption"/>
        <w:spacing w:after="0"/>
        <w:jc w:val="both"/>
        <w:rPr>
          <w:rFonts w:ascii="Times New Roman" w:hAnsi="Times New Roman" w:cs="Times New Roman"/>
          <w:b/>
          <w:bCs/>
          <w:i w:val="0"/>
          <w:iCs w:val="0"/>
          <w:color w:val="1F497D"/>
          <w:sz w:val="20"/>
          <w:szCs w:val="20"/>
        </w:rPr>
        <w:sectPr w:rsidR="001E5FF8" w:rsidSect="001E5FF8">
          <w:type w:val="continuous"/>
          <w:pgSz w:w="11906" w:h="16838" w:code="9"/>
          <w:pgMar w:top="1021" w:right="1066" w:bottom="964" w:left="1168" w:header="851" w:footer="777" w:gutter="0"/>
          <w:cols w:num="2" w:space="708"/>
          <w:titlePg/>
          <w:docGrid w:linePitch="360"/>
        </w:sectPr>
      </w:pPr>
    </w:p>
    <w:p w14:paraId="5D94CD04" w14:textId="77777777" w:rsidR="001E5FF8" w:rsidRPr="001E5FF8" w:rsidRDefault="001E5FF8" w:rsidP="001E5FF8">
      <w:pPr>
        <w:pStyle w:val="Caption"/>
        <w:spacing w:after="0"/>
        <w:jc w:val="both"/>
        <w:rPr>
          <w:rFonts w:ascii="Times New Roman" w:hAnsi="Times New Roman" w:cs="Times New Roman"/>
          <w:b/>
          <w:bCs/>
          <w:i w:val="0"/>
          <w:iCs w:val="0"/>
          <w:color w:val="1F497D"/>
          <w:sz w:val="20"/>
          <w:szCs w:val="20"/>
        </w:rPr>
      </w:pPr>
    </w:p>
    <w:p w14:paraId="33EED2CF" w14:textId="77777777" w:rsidR="0041378C" w:rsidRDefault="0041378C" w:rsidP="001E5FF8">
      <w:pPr>
        <w:pStyle w:val="Caption"/>
        <w:spacing w:after="0"/>
        <w:jc w:val="center"/>
        <w:rPr>
          <w:rFonts w:ascii="Times New Roman" w:hAnsi="Times New Roman" w:cs="Times New Roman"/>
          <w:b/>
          <w:bCs/>
          <w:i w:val="0"/>
          <w:iCs w:val="0"/>
          <w:color w:val="1F497D"/>
          <w:sz w:val="20"/>
          <w:szCs w:val="20"/>
        </w:rPr>
      </w:pPr>
    </w:p>
    <w:p w14:paraId="2BE26E21" w14:textId="5AE8E6E5" w:rsidR="008876B3" w:rsidRPr="001E5FF8" w:rsidRDefault="008876B3" w:rsidP="001E5FF8">
      <w:pPr>
        <w:pStyle w:val="Caption"/>
        <w:spacing w:after="0"/>
        <w:jc w:val="center"/>
        <w:rPr>
          <w:rFonts w:ascii="Times New Roman" w:hAnsi="Times New Roman" w:cs="Times New Roman"/>
          <w:b/>
          <w:bCs/>
          <w:i w:val="0"/>
          <w:iCs w:val="0"/>
          <w:color w:val="1F497D"/>
          <w:sz w:val="20"/>
          <w:szCs w:val="20"/>
        </w:rPr>
      </w:pPr>
      <w:r w:rsidRPr="001E5FF8">
        <w:rPr>
          <w:rFonts w:ascii="Times New Roman" w:hAnsi="Times New Roman" w:cs="Times New Roman"/>
          <w:b/>
          <w:bCs/>
          <w:i w:val="0"/>
          <w:iCs w:val="0"/>
          <w:color w:val="1F497D"/>
          <w:sz w:val="20"/>
          <w:szCs w:val="20"/>
        </w:rPr>
        <w:t>Table 1: Rotated Component Matrix</w:t>
      </w:r>
    </w:p>
    <w:tbl>
      <w:tblPr>
        <w:tblW w:w="4637" w:type="pct"/>
        <w:jc w:val="center"/>
        <w:tblLook w:val="04A0" w:firstRow="1" w:lastRow="0" w:firstColumn="1" w:lastColumn="0" w:noHBand="0" w:noVBand="1"/>
      </w:tblPr>
      <w:tblGrid>
        <w:gridCol w:w="4827"/>
        <w:gridCol w:w="1617"/>
        <w:gridCol w:w="1280"/>
        <w:gridCol w:w="1237"/>
      </w:tblGrid>
      <w:tr w:rsidR="001E5FF8" w:rsidRPr="001E5FF8" w14:paraId="7C189335" w14:textId="77777777" w:rsidTr="001E5FF8">
        <w:trPr>
          <w:trHeight w:val="163"/>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03E964C" w14:textId="77777777" w:rsidR="008876B3" w:rsidRPr="001E5FF8" w:rsidRDefault="008876B3"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 xml:space="preserve">Rotated Component </w:t>
            </w:r>
            <w:proofErr w:type="spellStart"/>
            <w:r w:rsidRPr="001E5FF8">
              <w:rPr>
                <w:rFonts w:ascii="Times New Roman" w:eastAsia="Times New Roman" w:hAnsi="Times New Roman" w:cs="Times New Roman"/>
                <w:b/>
                <w:bCs/>
                <w:color w:val="1F497D"/>
                <w:kern w:val="0"/>
                <w:sz w:val="20"/>
                <w:szCs w:val="20"/>
                <w:lang w:eastAsia="en-IN"/>
                <w14:ligatures w14:val="none"/>
              </w:rPr>
              <w:t>Matrix</w:t>
            </w:r>
            <w:r w:rsidRPr="001E5FF8">
              <w:rPr>
                <w:rFonts w:ascii="Times New Roman" w:eastAsia="Times New Roman" w:hAnsi="Times New Roman" w:cs="Times New Roman"/>
                <w:b/>
                <w:bCs/>
                <w:color w:val="1F497D"/>
                <w:kern w:val="0"/>
                <w:sz w:val="20"/>
                <w:szCs w:val="20"/>
                <w:vertAlign w:val="superscript"/>
                <w:lang w:eastAsia="en-IN"/>
                <w14:ligatures w14:val="none"/>
              </w:rPr>
              <w:t>a</w:t>
            </w:r>
            <w:proofErr w:type="spellEnd"/>
          </w:p>
        </w:tc>
      </w:tr>
      <w:tr w:rsidR="001E5FF8" w:rsidRPr="001E5FF8" w14:paraId="0FFA4701" w14:textId="77777777" w:rsidTr="001E5FF8">
        <w:trPr>
          <w:trHeight w:val="142"/>
          <w:jc w:val="center"/>
        </w:trPr>
        <w:tc>
          <w:tcPr>
            <w:tcW w:w="26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461E6"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Factors </w:t>
            </w:r>
          </w:p>
        </w:tc>
        <w:tc>
          <w:tcPr>
            <w:tcW w:w="2306" w:type="pct"/>
            <w:gridSpan w:val="3"/>
            <w:tcBorders>
              <w:top w:val="single" w:sz="4" w:space="0" w:color="auto"/>
              <w:left w:val="nil"/>
              <w:bottom w:val="single" w:sz="4" w:space="0" w:color="auto"/>
              <w:right w:val="single" w:sz="4" w:space="0" w:color="auto"/>
            </w:tcBorders>
            <w:shd w:val="clear" w:color="000000" w:fill="FFFFFF"/>
            <w:vAlign w:val="center"/>
            <w:hideMark/>
          </w:tcPr>
          <w:p w14:paraId="4FBC9057"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Component</w:t>
            </w:r>
          </w:p>
        </w:tc>
      </w:tr>
      <w:tr w:rsidR="001E5FF8" w:rsidRPr="001E5FF8" w14:paraId="1F838421" w14:textId="77777777" w:rsidTr="001E5FF8">
        <w:trPr>
          <w:trHeight w:val="152"/>
          <w:jc w:val="center"/>
        </w:trPr>
        <w:tc>
          <w:tcPr>
            <w:tcW w:w="2694" w:type="pct"/>
            <w:vMerge/>
            <w:tcBorders>
              <w:top w:val="single" w:sz="4" w:space="0" w:color="auto"/>
              <w:left w:val="single" w:sz="4" w:space="0" w:color="auto"/>
              <w:bottom w:val="single" w:sz="4" w:space="0" w:color="auto"/>
              <w:right w:val="single" w:sz="4" w:space="0" w:color="auto"/>
            </w:tcBorders>
            <w:vAlign w:val="center"/>
            <w:hideMark/>
          </w:tcPr>
          <w:p w14:paraId="0F82AC56"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p>
        </w:tc>
        <w:tc>
          <w:tcPr>
            <w:tcW w:w="902" w:type="pct"/>
            <w:tcBorders>
              <w:top w:val="nil"/>
              <w:left w:val="nil"/>
              <w:bottom w:val="single" w:sz="4" w:space="0" w:color="auto"/>
              <w:right w:val="single" w:sz="4" w:space="0" w:color="auto"/>
            </w:tcBorders>
            <w:shd w:val="clear" w:color="000000" w:fill="FFFFFF"/>
            <w:vAlign w:val="center"/>
            <w:hideMark/>
          </w:tcPr>
          <w:p w14:paraId="231A10D9"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1</w:t>
            </w:r>
          </w:p>
        </w:tc>
        <w:tc>
          <w:tcPr>
            <w:tcW w:w="714" w:type="pct"/>
            <w:tcBorders>
              <w:top w:val="nil"/>
              <w:left w:val="nil"/>
              <w:bottom w:val="single" w:sz="4" w:space="0" w:color="auto"/>
              <w:right w:val="single" w:sz="4" w:space="0" w:color="auto"/>
            </w:tcBorders>
            <w:shd w:val="clear" w:color="000000" w:fill="FFFFFF"/>
            <w:vAlign w:val="center"/>
            <w:hideMark/>
          </w:tcPr>
          <w:p w14:paraId="3A0511C0"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2</w:t>
            </w:r>
          </w:p>
        </w:tc>
        <w:tc>
          <w:tcPr>
            <w:tcW w:w="690" w:type="pct"/>
            <w:tcBorders>
              <w:top w:val="nil"/>
              <w:left w:val="nil"/>
              <w:bottom w:val="single" w:sz="4" w:space="0" w:color="auto"/>
              <w:right w:val="single" w:sz="4" w:space="0" w:color="auto"/>
            </w:tcBorders>
            <w:shd w:val="clear" w:color="000000" w:fill="FFFFFF"/>
            <w:vAlign w:val="center"/>
            <w:hideMark/>
          </w:tcPr>
          <w:p w14:paraId="6F86C013"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3</w:t>
            </w:r>
          </w:p>
        </w:tc>
      </w:tr>
      <w:tr w:rsidR="001E5FF8" w:rsidRPr="001E5FF8" w14:paraId="70C23090" w14:textId="77777777" w:rsidTr="001E5FF8">
        <w:trPr>
          <w:trHeight w:val="152"/>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7096C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Financial Illiteracy</w:t>
            </w:r>
          </w:p>
        </w:tc>
        <w:tc>
          <w:tcPr>
            <w:tcW w:w="902" w:type="pct"/>
            <w:tcBorders>
              <w:top w:val="nil"/>
              <w:left w:val="nil"/>
              <w:bottom w:val="single" w:sz="4" w:space="0" w:color="auto"/>
              <w:right w:val="single" w:sz="4" w:space="0" w:color="auto"/>
            </w:tcBorders>
            <w:shd w:val="clear" w:color="000000" w:fill="FFFFFF"/>
            <w:vAlign w:val="center"/>
            <w:hideMark/>
          </w:tcPr>
          <w:p w14:paraId="6154C08E"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0.861</w:t>
            </w:r>
          </w:p>
        </w:tc>
        <w:tc>
          <w:tcPr>
            <w:tcW w:w="714" w:type="pct"/>
            <w:tcBorders>
              <w:top w:val="nil"/>
              <w:left w:val="nil"/>
              <w:bottom w:val="single" w:sz="4" w:space="0" w:color="auto"/>
              <w:right w:val="single" w:sz="4" w:space="0" w:color="auto"/>
            </w:tcBorders>
            <w:shd w:val="clear" w:color="000000" w:fill="FFFFFF"/>
            <w:vAlign w:val="center"/>
            <w:hideMark/>
          </w:tcPr>
          <w:p w14:paraId="0B6C023F"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499EEBA0"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3344CB26"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E038A"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Lack of awareness among people</w:t>
            </w:r>
          </w:p>
        </w:tc>
        <w:tc>
          <w:tcPr>
            <w:tcW w:w="902" w:type="pct"/>
            <w:tcBorders>
              <w:top w:val="nil"/>
              <w:left w:val="nil"/>
              <w:bottom w:val="single" w:sz="4" w:space="0" w:color="auto"/>
              <w:right w:val="single" w:sz="4" w:space="0" w:color="auto"/>
            </w:tcBorders>
            <w:shd w:val="clear" w:color="000000" w:fill="FFFFFF"/>
            <w:vAlign w:val="center"/>
            <w:hideMark/>
          </w:tcPr>
          <w:p w14:paraId="4E6AAF7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0.843</w:t>
            </w:r>
          </w:p>
        </w:tc>
        <w:tc>
          <w:tcPr>
            <w:tcW w:w="714" w:type="pct"/>
            <w:tcBorders>
              <w:top w:val="nil"/>
              <w:left w:val="nil"/>
              <w:bottom w:val="single" w:sz="4" w:space="0" w:color="auto"/>
              <w:right w:val="single" w:sz="4" w:space="0" w:color="auto"/>
            </w:tcBorders>
            <w:shd w:val="clear" w:color="000000" w:fill="FFFFFF"/>
            <w:vAlign w:val="center"/>
            <w:hideMark/>
          </w:tcPr>
          <w:p w14:paraId="6DD9EBAD"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5C333352"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474DFF57" w14:textId="77777777" w:rsidTr="001E5FF8">
        <w:trPr>
          <w:trHeight w:val="152"/>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23C08"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Difficulty in convincing</w:t>
            </w:r>
          </w:p>
        </w:tc>
        <w:tc>
          <w:tcPr>
            <w:tcW w:w="902" w:type="pct"/>
            <w:tcBorders>
              <w:top w:val="nil"/>
              <w:left w:val="nil"/>
              <w:bottom w:val="single" w:sz="4" w:space="0" w:color="auto"/>
              <w:right w:val="single" w:sz="4" w:space="0" w:color="auto"/>
            </w:tcBorders>
            <w:shd w:val="clear" w:color="000000" w:fill="FFFFFF"/>
            <w:vAlign w:val="center"/>
            <w:hideMark/>
          </w:tcPr>
          <w:p w14:paraId="2F35E6D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0.79</w:t>
            </w:r>
          </w:p>
        </w:tc>
        <w:tc>
          <w:tcPr>
            <w:tcW w:w="714" w:type="pct"/>
            <w:tcBorders>
              <w:top w:val="nil"/>
              <w:left w:val="nil"/>
              <w:bottom w:val="single" w:sz="4" w:space="0" w:color="auto"/>
              <w:right w:val="single" w:sz="4" w:space="0" w:color="auto"/>
            </w:tcBorders>
            <w:shd w:val="clear" w:color="000000" w:fill="FFFFFF"/>
            <w:vAlign w:val="center"/>
            <w:hideMark/>
          </w:tcPr>
          <w:p w14:paraId="41E550D2"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155A6128"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3878AB77" w14:textId="77777777" w:rsidTr="001E5FF8">
        <w:trPr>
          <w:trHeight w:val="152"/>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9953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Low-Income Market</w:t>
            </w:r>
          </w:p>
        </w:tc>
        <w:tc>
          <w:tcPr>
            <w:tcW w:w="902" w:type="pct"/>
            <w:tcBorders>
              <w:top w:val="nil"/>
              <w:left w:val="nil"/>
              <w:bottom w:val="single" w:sz="4" w:space="0" w:color="auto"/>
              <w:right w:val="single" w:sz="4" w:space="0" w:color="auto"/>
            </w:tcBorders>
            <w:shd w:val="clear" w:color="000000" w:fill="FFFFFF"/>
            <w:vAlign w:val="center"/>
            <w:hideMark/>
          </w:tcPr>
          <w:p w14:paraId="1FEDDB9C"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0.721</w:t>
            </w:r>
          </w:p>
        </w:tc>
        <w:tc>
          <w:tcPr>
            <w:tcW w:w="714" w:type="pct"/>
            <w:tcBorders>
              <w:top w:val="nil"/>
              <w:left w:val="nil"/>
              <w:bottom w:val="single" w:sz="4" w:space="0" w:color="auto"/>
              <w:right w:val="single" w:sz="4" w:space="0" w:color="auto"/>
            </w:tcBorders>
            <w:shd w:val="clear" w:color="000000" w:fill="FFFFFF"/>
            <w:vAlign w:val="center"/>
            <w:hideMark/>
          </w:tcPr>
          <w:p w14:paraId="030EC2D9"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6855A3C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41456148"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6B81F"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Competition from Private Insurance</w:t>
            </w:r>
          </w:p>
        </w:tc>
        <w:tc>
          <w:tcPr>
            <w:tcW w:w="902" w:type="pct"/>
            <w:tcBorders>
              <w:top w:val="nil"/>
              <w:left w:val="nil"/>
              <w:bottom w:val="single" w:sz="4" w:space="0" w:color="auto"/>
              <w:right w:val="single" w:sz="4" w:space="0" w:color="auto"/>
            </w:tcBorders>
            <w:shd w:val="clear" w:color="000000" w:fill="FFFFFF"/>
            <w:vAlign w:val="center"/>
            <w:hideMark/>
          </w:tcPr>
          <w:p w14:paraId="01E2201C"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0.641</w:t>
            </w:r>
          </w:p>
        </w:tc>
        <w:tc>
          <w:tcPr>
            <w:tcW w:w="714" w:type="pct"/>
            <w:tcBorders>
              <w:top w:val="nil"/>
              <w:left w:val="nil"/>
              <w:bottom w:val="single" w:sz="4" w:space="0" w:color="auto"/>
              <w:right w:val="single" w:sz="4" w:space="0" w:color="auto"/>
            </w:tcBorders>
            <w:shd w:val="clear" w:color="000000" w:fill="FFFFFF"/>
            <w:vAlign w:val="center"/>
            <w:hideMark/>
          </w:tcPr>
          <w:p w14:paraId="5AF6710B"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3B5B868B"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7D32D872"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1D862"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Misconceptions about Insurance</w:t>
            </w:r>
          </w:p>
        </w:tc>
        <w:tc>
          <w:tcPr>
            <w:tcW w:w="902" w:type="pct"/>
            <w:tcBorders>
              <w:top w:val="nil"/>
              <w:left w:val="nil"/>
              <w:bottom w:val="single" w:sz="4" w:space="0" w:color="auto"/>
              <w:right w:val="single" w:sz="4" w:space="0" w:color="auto"/>
            </w:tcBorders>
            <w:shd w:val="clear" w:color="000000" w:fill="FFFFFF"/>
            <w:vAlign w:val="center"/>
            <w:hideMark/>
          </w:tcPr>
          <w:p w14:paraId="4AC6D72E"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0.62</w:t>
            </w:r>
          </w:p>
        </w:tc>
        <w:tc>
          <w:tcPr>
            <w:tcW w:w="714" w:type="pct"/>
            <w:tcBorders>
              <w:top w:val="nil"/>
              <w:left w:val="nil"/>
              <w:bottom w:val="single" w:sz="4" w:space="0" w:color="auto"/>
              <w:right w:val="single" w:sz="4" w:space="0" w:color="auto"/>
            </w:tcBorders>
            <w:shd w:val="clear" w:color="000000" w:fill="FFFFFF"/>
            <w:vAlign w:val="center"/>
            <w:hideMark/>
          </w:tcPr>
          <w:p w14:paraId="4939E6AA"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4D52D143"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64550EB7"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676D7"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Customers expect benefits even if no claim occurs</w:t>
            </w:r>
          </w:p>
        </w:tc>
        <w:tc>
          <w:tcPr>
            <w:tcW w:w="902" w:type="pct"/>
            <w:tcBorders>
              <w:top w:val="nil"/>
              <w:left w:val="nil"/>
              <w:bottom w:val="single" w:sz="4" w:space="0" w:color="auto"/>
              <w:right w:val="single" w:sz="4" w:space="0" w:color="auto"/>
            </w:tcBorders>
            <w:shd w:val="clear" w:color="000000" w:fill="FFFFFF"/>
            <w:vAlign w:val="center"/>
            <w:hideMark/>
          </w:tcPr>
          <w:p w14:paraId="6729DF7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4C6E850A"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0.85</w:t>
            </w:r>
          </w:p>
        </w:tc>
        <w:tc>
          <w:tcPr>
            <w:tcW w:w="690" w:type="pct"/>
            <w:tcBorders>
              <w:top w:val="nil"/>
              <w:left w:val="nil"/>
              <w:bottom w:val="single" w:sz="4" w:space="0" w:color="auto"/>
              <w:right w:val="single" w:sz="4" w:space="0" w:color="auto"/>
            </w:tcBorders>
            <w:shd w:val="clear" w:color="000000" w:fill="FFFFFF"/>
            <w:vAlign w:val="center"/>
            <w:hideMark/>
          </w:tcPr>
          <w:p w14:paraId="46F29BF0"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7B2E3FF7" w14:textId="77777777" w:rsidTr="001E5FF8">
        <w:trPr>
          <w:trHeight w:val="152"/>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227C17"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Claim Settlement Delays</w:t>
            </w:r>
          </w:p>
        </w:tc>
        <w:tc>
          <w:tcPr>
            <w:tcW w:w="902" w:type="pct"/>
            <w:tcBorders>
              <w:top w:val="nil"/>
              <w:left w:val="nil"/>
              <w:bottom w:val="single" w:sz="4" w:space="0" w:color="auto"/>
              <w:right w:val="single" w:sz="4" w:space="0" w:color="auto"/>
            </w:tcBorders>
            <w:shd w:val="clear" w:color="000000" w:fill="FFFFFF"/>
            <w:vAlign w:val="center"/>
            <w:hideMark/>
          </w:tcPr>
          <w:p w14:paraId="7BFF50A0"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0CC4F4E7"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0.849</w:t>
            </w:r>
          </w:p>
        </w:tc>
        <w:tc>
          <w:tcPr>
            <w:tcW w:w="690" w:type="pct"/>
            <w:tcBorders>
              <w:top w:val="nil"/>
              <w:left w:val="nil"/>
              <w:bottom w:val="single" w:sz="4" w:space="0" w:color="auto"/>
              <w:right w:val="single" w:sz="4" w:space="0" w:color="auto"/>
            </w:tcBorders>
            <w:shd w:val="clear" w:color="000000" w:fill="FFFFFF"/>
            <w:vAlign w:val="center"/>
            <w:hideMark/>
          </w:tcPr>
          <w:p w14:paraId="7AF3EF3F"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7527D2A5" w14:textId="77777777" w:rsidTr="001E5FF8">
        <w:trPr>
          <w:trHeight w:val="430"/>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8DF24"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Overlap between Pradhan Mantri Insurance Scheme and Micro Insurance Product</w:t>
            </w:r>
          </w:p>
        </w:tc>
        <w:tc>
          <w:tcPr>
            <w:tcW w:w="902" w:type="pct"/>
            <w:tcBorders>
              <w:top w:val="nil"/>
              <w:left w:val="nil"/>
              <w:bottom w:val="single" w:sz="4" w:space="0" w:color="auto"/>
              <w:right w:val="single" w:sz="4" w:space="0" w:color="auto"/>
            </w:tcBorders>
            <w:shd w:val="clear" w:color="000000" w:fill="FFFFFF"/>
            <w:vAlign w:val="center"/>
            <w:hideMark/>
          </w:tcPr>
          <w:p w14:paraId="44753E0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60D92CC4"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0.609</w:t>
            </w:r>
          </w:p>
        </w:tc>
        <w:tc>
          <w:tcPr>
            <w:tcW w:w="690" w:type="pct"/>
            <w:tcBorders>
              <w:top w:val="nil"/>
              <w:left w:val="nil"/>
              <w:bottom w:val="single" w:sz="4" w:space="0" w:color="auto"/>
              <w:right w:val="single" w:sz="4" w:space="0" w:color="auto"/>
            </w:tcBorders>
            <w:shd w:val="clear" w:color="000000" w:fill="FFFFFF"/>
            <w:vAlign w:val="center"/>
            <w:hideMark/>
          </w:tcPr>
          <w:p w14:paraId="06974B13"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r>
      <w:tr w:rsidR="001E5FF8" w:rsidRPr="001E5FF8" w14:paraId="5B8823EE"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8ED5E"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Technical and Digital issues in enrolment</w:t>
            </w:r>
          </w:p>
        </w:tc>
        <w:tc>
          <w:tcPr>
            <w:tcW w:w="902" w:type="pct"/>
            <w:tcBorders>
              <w:top w:val="nil"/>
              <w:left w:val="nil"/>
              <w:bottom w:val="single" w:sz="4" w:space="0" w:color="auto"/>
              <w:right w:val="single" w:sz="4" w:space="0" w:color="auto"/>
            </w:tcBorders>
            <w:shd w:val="clear" w:color="000000" w:fill="FFFFFF"/>
            <w:vAlign w:val="center"/>
            <w:hideMark/>
          </w:tcPr>
          <w:p w14:paraId="1E46F881"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23B84009"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6E7D6492"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0.842</w:t>
            </w:r>
          </w:p>
        </w:tc>
      </w:tr>
      <w:tr w:rsidR="001E5FF8" w:rsidRPr="001E5FF8" w14:paraId="3B6C6804" w14:textId="77777777" w:rsidTr="001E5FF8">
        <w:trPr>
          <w:trHeight w:val="430"/>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75B13"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Lack of Promotional Material and support from the Government</w:t>
            </w:r>
          </w:p>
        </w:tc>
        <w:tc>
          <w:tcPr>
            <w:tcW w:w="902" w:type="pct"/>
            <w:tcBorders>
              <w:top w:val="nil"/>
              <w:left w:val="nil"/>
              <w:bottom w:val="single" w:sz="4" w:space="0" w:color="auto"/>
              <w:right w:val="single" w:sz="4" w:space="0" w:color="auto"/>
            </w:tcBorders>
            <w:shd w:val="clear" w:color="000000" w:fill="FFFFFF"/>
            <w:vAlign w:val="center"/>
            <w:hideMark/>
          </w:tcPr>
          <w:p w14:paraId="30CD93D0"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59AC56F9"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43916214"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0.806</w:t>
            </w:r>
          </w:p>
        </w:tc>
      </w:tr>
      <w:tr w:rsidR="001E5FF8" w:rsidRPr="001E5FF8" w14:paraId="4185AAEC"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F379F"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Insufficient Training for Intermediaries</w:t>
            </w:r>
          </w:p>
        </w:tc>
        <w:tc>
          <w:tcPr>
            <w:tcW w:w="902" w:type="pct"/>
            <w:tcBorders>
              <w:top w:val="nil"/>
              <w:left w:val="nil"/>
              <w:bottom w:val="single" w:sz="4" w:space="0" w:color="auto"/>
              <w:right w:val="single" w:sz="4" w:space="0" w:color="auto"/>
            </w:tcBorders>
            <w:shd w:val="clear" w:color="000000" w:fill="FFFFFF"/>
            <w:vAlign w:val="center"/>
            <w:hideMark/>
          </w:tcPr>
          <w:p w14:paraId="3665A441"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745B351D"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6A11A221"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0.613</w:t>
            </w:r>
          </w:p>
        </w:tc>
      </w:tr>
      <w:tr w:rsidR="001E5FF8" w:rsidRPr="001E5FF8" w14:paraId="711FEFE8" w14:textId="77777777" w:rsidTr="001E5FF8">
        <w:trPr>
          <w:trHeight w:val="286"/>
          <w:jc w:val="center"/>
        </w:trPr>
        <w:tc>
          <w:tcPr>
            <w:tcW w:w="26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AFEE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Lack of Incentives and recognition for intermediaries</w:t>
            </w:r>
          </w:p>
        </w:tc>
        <w:tc>
          <w:tcPr>
            <w:tcW w:w="902" w:type="pct"/>
            <w:tcBorders>
              <w:top w:val="nil"/>
              <w:left w:val="nil"/>
              <w:bottom w:val="single" w:sz="4" w:space="0" w:color="auto"/>
              <w:right w:val="single" w:sz="4" w:space="0" w:color="auto"/>
            </w:tcBorders>
            <w:shd w:val="clear" w:color="000000" w:fill="FFFFFF"/>
            <w:vAlign w:val="center"/>
            <w:hideMark/>
          </w:tcPr>
          <w:p w14:paraId="1B1164E5"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714" w:type="pct"/>
            <w:tcBorders>
              <w:top w:val="nil"/>
              <w:left w:val="nil"/>
              <w:bottom w:val="single" w:sz="4" w:space="0" w:color="auto"/>
              <w:right w:val="single" w:sz="4" w:space="0" w:color="auto"/>
            </w:tcBorders>
            <w:shd w:val="clear" w:color="000000" w:fill="FFFFFF"/>
            <w:vAlign w:val="center"/>
            <w:hideMark/>
          </w:tcPr>
          <w:p w14:paraId="05586688"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w:t>
            </w:r>
          </w:p>
        </w:tc>
        <w:tc>
          <w:tcPr>
            <w:tcW w:w="690" w:type="pct"/>
            <w:tcBorders>
              <w:top w:val="nil"/>
              <w:left w:val="nil"/>
              <w:bottom w:val="single" w:sz="4" w:space="0" w:color="auto"/>
              <w:right w:val="single" w:sz="4" w:space="0" w:color="auto"/>
            </w:tcBorders>
            <w:shd w:val="clear" w:color="000000" w:fill="FFFFFF"/>
            <w:vAlign w:val="center"/>
            <w:hideMark/>
          </w:tcPr>
          <w:p w14:paraId="2B6231DF"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0.607</w:t>
            </w:r>
          </w:p>
        </w:tc>
      </w:tr>
      <w:tr w:rsidR="001E5FF8" w:rsidRPr="001E5FF8" w14:paraId="463D22A4" w14:textId="77777777" w:rsidTr="001E5FF8">
        <w:trPr>
          <w:trHeight w:val="142"/>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1438473" w14:textId="77777777" w:rsidR="008876B3" w:rsidRPr="001E5FF8" w:rsidRDefault="008876B3"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xml:space="preserve">Extraction Method: Principal Component Analysis. </w:t>
            </w:r>
          </w:p>
        </w:tc>
      </w:tr>
      <w:tr w:rsidR="001E5FF8" w:rsidRPr="001E5FF8" w14:paraId="2DE92CFA" w14:textId="77777777" w:rsidTr="001E5FF8">
        <w:trPr>
          <w:trHeight w:val="142"/>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25A512F" w14:textId="70C7EF01" w:rsidR="008876B3" w:rsidRPr="001E5FF8" w:rsidRDefault="008876B3"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Source: SPSS Output</w:t>
            </w:r>
          </w:p>
        </w:tc>
      </w:tr>
    </w:tbl>
    <w:p w14:paraId="225385A7" w14:textId="0F228E32" w:rsidR="00394F3C" w:rsidRPr="001E5FF8" w:rsidRDefault="00394F3C" w:rsidP="001E5FF8">
      <w:pPr>
        <w:pStyle w:val="Caption"/>
        <w:spacing w:after="0"/>
        <w:jc w:val="center"/>
        <w:rPr>
          <w:rFonts w:ascii="Times New Roman" w:hAnsi="Times New Roman" w:cs="Times New Roman"/>
          <w:b/>
          <w:bCs/>
          <w:i w:val="0"/>
          <w:iCs w:val="0"/>
          <w:color w:val="1F497D"/>
          <w:sz w:val="20"/>
          <w:szCs w:val="20"/>
        </w:rPr>
      </w:pPr>
      <w:r w:rsidRPr="001E5FF8">
        <w:rPr>
          <w:rFonts w:ascii="Times New Roman" w:hAnsi="Times New Roman" w:cs="Times New Roman"/>
          <w:b/>
          <w:bCs/>
          <w:i w:val="0"/>
          <w:iCs w:val="0"/>
          <w:color w:val="1F497D"/>
          <w:sz w:val="20"/>
          <w:szCs w:val="20"/>
        </w:rPr>
        <w:t>Figure 1: Structural Model of Factors Influencing Intermediaries’ Performance</w:t>
      </w:r>
    </w:p>
    <w:p w14:paraId="321ED2CB" w14:textId="1D90720A" w:rsidR="003844FC" w:rsidRDefault="003844FC" w:rsidP="003844FC">
      <w:pPr>
        <w:spacing w:after="0" w:line="240" w:lineRule="auto"/>
        <w:rPr>
          <w:rFonts w:ascii="Times New Roman" w:hAnsi="Times New Roman" w:cs="Times New Roman"/>
          <w:color w:val="1F497D"/>
          <w:sz w:val="20"/>
          <w:szCs w:val="20"/>
        </w:rPr>
      </w:pPr>
    </w:p>
    <w:tbl>
      <w:tblPr>
        <w:tblStyle w:val="TableGrid0"/>
        <w:tblW w:w="10162" w:type="dxa"/>
        <w:jc w:val="center"/>
        <w:tblLook w:val="04A0" w:firstRow="1" w:lastRow="0" w:firstColumn="1" w:lastColumn="0" w:noHBand="0" w:noVBand="1"/>
      </w:tblPr>
      <w:tblGrid>
        <w:gridCol w:w="10162"/>
      </w:tblGrid>
      <w:tr w:rsidR="003844FC" w14:paraId="7499A075" w14:textId="77777777" w:rsidTr="00757E5A">
        <w:trPr>
          <w:trHeight w:val="2171"/>
          <w:jc w:val="center"/>
        </w:trPr>
        <w:tc>
          <w:tcPr>
            <w:tcW w:w="10162" w:type="dxa"/>
          </w:tcPr>
          <w:p w14:paraId="68E7FD3A" w14:textId="039F7DEF" w:rsidR="003844FC" w:rsidRDefault="003844FC" w:rsidP="003844FC">
            <w:pPr>
              <w:rPr>
                <w:rFonts w:ascii="Times New Roman" w:hAnsi="Times New Roman" w:cs="Times New Roman"/>
                <w:color w:val="1F497D"/>
                <w:sz w:val="20"/>
                <w:szCs w:val="20"/>
              </w:rPr>
            </w:pPr>
            <w:r w:rsidRPr="001E5FF8">
              <w:rPr>
                <w:rFonts w:ascii="Times New Roman" w:hAnsi="Times New Roman" w:cs="Times New Roman"/>
                <w:noProof/>
                <w:color w:val="1F497D"/>
                <w:sz w:val="20"/>
                <w:szCs w:val="20"/>
              </w:rPr>
              <w:drawing>
                <wp:anchor distT="0" distB="0" distL="114300" distR="114300" simplePos="0" relativeHeight="251662336" behindDoc="0" locked="0" layoutInCell="1" allowOverlap="1" wp14:anchorId="09D4B861" wp14:editId="2C5DC6D9">
                  <wp:simplePos x="0" y="0"/>
                  <wp:positionH relativeFrom="column">
                    <wp:posOffset>1068070</wp:posOffset>
                  </wp:positionH>
                  <wp:positionV relativeFrom="paragraph">
                    <wp:posOffset>1905</wp:posOffset>
                  </wp:positionV>
                  <wp:extent cx="4324350" cy="4222750"/>
                  <wp:effectExtent l="0" t="0" r="0" b="0"/>
                  <wp:wrapSquare wrapText="bothSides"/>
                  <wp:docPr id="153680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07258" name=""/>
                          <pic:cNvPicPr/>
                        </pic:nvPicPr>
                        <pic:blipFill>
                          <a:blip r:embed="rId13">
                            <a:extLst>
                              <a:ext uri="{28A0092B-C50C-407E-A947-70E740481C1C}">
                                <a14:useLocalDpi xmlns:a14="http://schemas.microsoft.com/office/drawing/2010/main" val="0"/>
                              </a:ext>
                            </a:extLst>
                          </a:blip>
                          <a:stretch>
                            <a:fillRect/>
                          </a:stretch>
                        </pic:blipFill>
                        <pic:spPr>
                          <a:xfrm>
                            <a:off x="0" y="0"/>
                            <a:ext cx="4324350" cy="4222750"/>
                          </a:xfrm>
                          <a:prstGeom prst="rect">
                            <a:avLst/>
                          </a:prstGeom>
                        </pic:spPr>
                      </pic:pic>
                    </a:graphicData>
                  </a:graphic>
                  <wp14:sizeRelH relativeFrom="margin">
                    <wp14:pctWidth>0</wp14:pctWidth>
                  </wp14:sizeRelH>
                  <wp14:sizeRelV relativeFrom="margin">
                    <wp14:pctHeight>0</wp14:pctHeight>
                  </wp14:sizeRelV>
                </wp:anchor>
              </w:drawing>
            </w:r>
          </w:p>
          <w:p w14:paraId="10446B95" w14:textId="64253CEF" w:rsidR="003844FC" w:rsidRDefault="003844FC" w:rsidP="003844FC">
            <w:pPr>
              <w:rPr>
                <w:rFonts w:ascii="Times New Roman" w:hAnsi="Times New Roman" w:cs="Times New Roman"/>
                <w:color w:val="1F497D"/>
                <w:sz w:val="20"/>
                <w:szCs w:val="20"/>
              </w:rPr>
            </w:pPr>
          </w:p>
          <w:p w14:paraId="45D58E8B" w14:textId="77777777" w:rsidR="003844FC" w:rsidRDefault="003844FC" w:rsidP="003844FC">
            <w:pPr>
              <w:rPr>
                <w:rFonts w:ascii="Times New Roman" w:hAnsi="Times New Roman" w:cs="Times New Roman"/>
                <w:color w:val="1F497D"/>
                <w:sz w:val="20"/>
                <w:szCs w:val="20"/>
              </w:rPr>
            </w:pPr>
          </w:p>
          <w:p w14:paraId="67110463" w14:textId="77777777" w:rsidR="003844FC" w:rsidRDefault="003844FC" w:rsidP="003844FC">
            <w:pPr>
              <w:rPr>
                <w:rFonts w:ascii="Times New Roman" w:hAnsi="Times New Roman" w:cs="Times New Roman"/>
                <w:color w:val="1F497D"/>
                <w:sz w:val="20"/>
                <w:szCs w:val="20"/>
              </w:rPr>
            </w:pPr>
          </w:p>
          <w:p w14:paraId="408976A6" w14:textId="77777777" w:rsidR="003844FC" w:rsidRDefault="003844FC" w:rsidP="003844FC">
            <w:pPr>
              <w:rPr>
                <w:rFonts w:ascii="Times New Roman" w:hAnsi="Times New Roman" w:cs="Times New Roman"/>
                <w:color w:val="1F497D"/>
                <w:sz w:val="20"/>
                <w:szCs w:val="20"/>
              </w:rPr>
            </w:pPr>
          </w:p>
        </w:tc>
      </w:tr>
    </w:tbl>
    <w:p w14:paraId="0B71BBB6" w14:textId="2923806A" w:rsidR="001E5FF8" w:rsidRPr="001E5FF8" w:rsidRDefault="001E5FF8" w:rsidP="00757E5A">
      <w:pPr>
        <w:spacing w:after="0" w:line="240" w:lineRule="auto"/>
        <w:rPr>
          <w:rFonts w:ascii="Times New Roman" w:hAnsi="Times New Roman" w:cs="Times New Roman"/>
          <w:color w:val="1F497D"/>
          <w:sz w:val="20"/>
          <w:szCs w:val="20"/>
        </w:rPr>
      </w:pPr>
    </w:p>
    <w:p w14:paraId="439249C6" w14:textId="0FCA0484" w:rsidR="00D06246" w:rsidRPr="001E5FF8" w:rsidRDefault="00B15F19" w:rsidP="001E5FF8">
      <w:pPr>
        <w:pStyle w:val="Caption"/>
        <w:spacing w:after="0"/>
        <w:jc w:val="center"/>
        <w:rPr>
          <w:rFonts w:ascii="Times New Roman" w:hAnsi="Times New Roman" w:cs="Times New Roman"/>
          <w:b/>
          <w:bCs/>
          <w:i w:val="0"/>
          <w:iCs w:val="0"/>
          <w:color w:val="1F497D"/>
          <w:sz w:val="20"/>
          <w:szCs w:val="20"/>
        </w:rPr>
      </w:pPr>
      <w:r w:rsidRPr="001E5FF8">
        <w:rPr>
          <w:rFonts w:ascii="Times New Roman" w:hAnsi="Times New Roman" w:cs="Times New Roman"/>
          <w:b/>
          <w:bCs/>
          <w:i w:val="0"/>
          <w:iCs w:val="0"/>
          <w:color w:val="1F497D"/>
          <w:sz w:val="20"/>
          <w:szCs w:val="20"/>
        </w:rPr>
        <w:t>Table 2: Fitness of the Model</w:t>
      </w:r>
    </w:p>
    <w:tbl>
      <w:tblPr>
        <w:tblW w:w="4653" w:type="pct"/>
        <w:jc w:val="center"/>
        <w:tblLook w:val="04A0" w:firstRow="1" w:lastRow="0" w:firstColumn="1" w:lastColumn="0" w:noHBand="0" w:noVBand="1"/>
      </w:tblPr>
      <w:tblGrid>
        <w:gridCol w:w="3922"/>
        <w:gridCol w:w="1244"/>
        <w:gridCol w:w="1771"/>
        <w:gridCol w:w="2054"/>
      </w:tblGrid>
      <w:tr w:rsidR="001E5FF8" w:rsidRPr="001E5FF8" w14:paraId="388F15A9" w14:textId="77777777" w:rsidTr="001E5FF8">
        <w:trPr>
          <w:trHeight w:val="133"/>
          <w:jc w:val="center"/>
        </w:trPr>
        <w:tc>
          <w:tcPr>
            <w:tcW w:w="2181" w:type="pct"/>
            <w:tcBorders>
              <w:top w:val="single" w:sz="4" w:space="0" w:color="auto"/>
              <w:left w:val="single" w:sz="4" w:space="0" w:color="auto"/>
              <w:bottom w:val="single" w:sz="4" w:space="0" w:color="auto"/>
              <w:right w:val="single" w:sz="4" w:space="0" w:color="auto"/>
            </w:tcBorders>
            <w:vAlign w:val="center"/>
            <w:hideMark/>
          </w:tcPr>
          <w:p w14:paraId="4756BF62" w14:textId="0DACF7FE" w:rsidR="00B15F19" w:rsidRPr="001E5FF8" w:rsidRDefault="00870477"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 xml:space="preserve">Name of </w:t>
            </w:r>
            <w:r w:rsidR="00B15F19" w:rsidRPr="001E5FF8">
              <w:rPr>
                <w:rFonts w:ascii="Times New Roman" w:eastAsia="Times New Roman" w:hAnsi="Times New Roman" w:cs="Times New Roman"/>
                <w:b/>
                <w:bCs/>
                <w:color w:val="1F497D"/>
                <w:kern w:val="0"/>
                <w:sz w:val="20"/>
                <w:szCs w:val="20"/>
                <w:lang w:eastAsia="en-IN"/>
                <w14:ligatures w14:val="none"/>
              </w:rPr>
              <w:t>Index</w:t>
            </w:r>
          </w:p>
        </w:tc>
        <w:tc>
          <w:tcPr>
            <w:tcW w:w="692" w:type="pct"/>
            <w:tcBorders>
              <w:top w:val="single" w:sz="4" w:space="0" w:color="auto"/>
              <w:left w:val="nil"/>
              <w:bottom w:val="single" w:sz="4" w:space="0" w:color="auto"/>
              <w:right w:val="single" w:sz="4" w:space="0" w:color="auto"/>
            </w:tcBorders>
            <w:vAlign w:val="center"/>
            <w:hideMark/>
          </w:tcPr>
          <w:p w14:paraId="65F8EDDD"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Value</w:t>
            </w:r>
          </w:p>
        </w:tc>
        <w:tc>
          <w:tcPr>
            <w:tcW w:w="985" w:type="pct"/>
            <w:tcBorders>
              <w:top w:val="single" w:sz="4" w:space="0" w:color="auto"/>
              <w:left w:val="nil"/>
              <w:bottom w:val="single" w:sz="4" w:space="0" w:color="auto"/>
              <w:right w:val="single" w:sz="4" w:space="0" w:color="auto"/>
            </w:tcBorders>
            <w:vAlign w:val="center"/>
            <w:hideMark/>
          </w:tcPr>
          <w:p w14:paraId="19CA1A45" w14:textId="70275A91" w:rsidR="00B15F19" w:rsidRPr="001E5FF8" w:rsidRDefault="00870477"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 xml:space="preserve">Acceptable Rage </w:t>
            </w:r>
          </w:p>
        </w:tc>
        <w:tc>
          <w:tcPr>
            <w:tcW w:w="1142" w:type="pct"/>
            <w:tcBorders>
              <w:top w:val="single" w:sz="4" w:space="0" w:color="auto"/>
              <w:left w:val="nil"/>
              <w:bottom w:val="single" w:sz="4" w:space="0" w:color="auto"/>
              <w:right w:val="single" w:sz="4" w:space="0" w:color="auto"/>
            </w:tcBorders>
            <w:vAlign w:val="center"/>
            <w:hideMark/>
          </w:tcPr>
          <w:p w14:paraId="795E7A84"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Interpretation</w:t>
            </w:r>
          </w:p>
        </w:tc>
      </w:tr>
      <w:tr w:rsidR="001E5FF8" w:rsidRPr="001E5FF8" w14:paraId="4EE5B505" w14:textId="77777777" w:rsidTr="001E5FF8">
        <w:trPr>
          <w:trHeight w:val="138"/>
          <w:jc w:val="center"/>
        </w:trPr>
        <w:tc>
          <w:tcPr>
            <w:tcW w:w="2181" w:type="pct"/>
            <w:tcBorders>
              <w:top w:val="nil"/>
              <w:left w:val="single" w:sz="4" w:space="0" w:color="auto"/>
              <w:bottom w:val="single" w:sz="4" w:space="0" w:color="auto"/>
              <w:right w:val="single" w:sz="4" w:space="0" w:color="auto"/>
            </w:tcBorders>
            <w:vAlign w:val="center"/>
            <w:hideMark/>
          </w:tcPr>
          <w:p w14:paraId="643ECA09"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Chi-square/</w:t>
            </w:r>
            <w:proofErr w:type="spellStart"/>
            <w:r w:rsidRPr="001E5FF8">
              <w:rPr>
                <w:rFonts w:ascii="Times New Roman" w:eastAsia="Times New Roman" w:hAnsi="Times New Roman" w:cs="Times New Roman"/>
                <w:b/>
                <w:bCs/>
                <w:color w:val="1F497D"/>
                <w:kern w:val="0"/>
                <w:sz w:val="20"/>
                <w:szCs w:val="20"/>
                <w:lang w:eastAsia="en-IN"/>
                <w14:ligatures w14:val="none"/>
              </w:rPr>
              <w:t>df</w:t>
            </w:r>
            <w:proofErr w:type="spellEnd"/>
          </w:p>
        </w:tc>
        <w:tc>
          <w:tcPr>
            <w:tcW w:w="692" w:type="pct"/>
            <w:tcBorders>
              <w:top w:val="nil"/>
              <w:left w:val="nil"/>
              <w:bottom w:val="single" w:sz="4" w:space="0" w:color="auto"/>
              <w:right w:val="single" w:sz="4" w:space="0" w:color="auto"/>
            </w:tcBorders>
            <w:vAlign w:val="center"/>
            <w:hideMark/>
          </w:tcPr>
          <w:p w14:paraId="57D9ACB6"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1.757</w:t>
            </w:r>
          </w:p>
        </w:tc>
        <w:tc>
          <w:tcPr>
            <w:tcW w:w="985" w:type="pct"/>
            <w:tcBorders>
              <w:top w:val="nil"/>
              <w:left w:val="nil"/>
              <w:bottom w:val="single" w:sz="4" w:space="0" w:color="auto"/>
              <w:right w:val="single" w:sz="4" w:space="0" w:color="auto"/>
            </w:tcBorders>
            <w:vAlign w:val="center"/>
            <w:hideMark/>
          </w:tcPr>
          <w:p w14:paraId="54C39C1B"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&lt; 3.00</w:t>
            </w:r>
          </w:p>
        </w:tc>
        <w:tc>
          <w:tcPr>
            <w:tcW w:w="1142" w:type="pct"/>
            <w:tcBorders>
              <w:top w:val="nil"/>
              <w:left w:val="nil"/>
              <w:bottom w:val="single" w:sz="4" w:space="0" w:color="auto"/>
              <w:right w:val="single" w:sz="4" w:space="0" w:color="auto"/>
            </w:tcBorders>
            <w:vAlign w:val="center"/>
            <w:hideMark/>
          </w:tcPr>
          <w:p w14:paraId="6F48976A"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Excellent Fit</w:t>
            </w:r>
          </w:p>
        </w:tc>
      </w:tr>
      <w:tr w:rsidR="001E5FF8" w:rsidRPr="001E5FF8" w14:paraId="7F5CC4B7"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5D5E4FDD"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lastRenderedPageBreak/>
              <w:t>Goodness of Fit Index (GFI)</w:t>
            </w:r>
          </w:p>
        </w:tc>
        <w:tc>
          <w:tcPr>
            <w:tcW w:w="692" w:type="pct"/>
            <w:tcBorders>
              <w:top w:val="nil"/>
              <w:left w:val="nil"/>
              <w:bottom w:val="single" w:sz="4" w:space="0" w:color="auto"/>
              <w:right w:val="single" w:sz="4" w:space="0" w:color="auto"/>
            </w:tcBorders>
            <w:vAlign w:val="center"/>
            <w:hideMark/>
          </w:tcPr>
          <w:p w14:paraId="062AC354"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0.934</w:t>
            </w:r>
          </w:p>
        </w:tc>
        <w:tc>
          <w:tcPr>
            <w:tcW w:w="985" w:type="pct"/>
            <w:tcBorders>
              <w:top w:val="nil"/>
              <w:left w:val="nil"/>
              <w:bottom w:val="single" w:sz="4" w:space="0" w:color="auto"/>
              <w:right w:val="single" w:sz="4" w:space="0" w:color="auto"/>
            </w:tcBorders>
            <w:vAlign w:val="center"/>
            <w:hideMark/>
          </w:tcPr>
          <w:p w14:paraId="31943287"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1D6323AF"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Good Fit</w:t>
            </w:r>
          </w:p>
        </w:tc>
      </w:tr>
      <w:tr w:rsidR="001E5FF8" w:rsidRPr="001E5FF8" w14:paraId="7131F4A7"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24F3A003"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Adjusted Goodness of Fit Index (AGFI)</w:t>
            </w:r>
          </w:p>
        </w:tc>
        <w:tc>
          <w:tcPr>
            <w:tcW w:w="692" w:type="pct"/>
            <w:tcBorders>
              <w:top w:val="nil"/>
              <w:left w:val="nil"/>
              <w:bottom w:val="single" w:sz="4" w:space="0" w:color="auto"/>
              <w:right w:val="single" w:sz="4" w:space="0" w:color="auto"/>
            </w:tcBorders>
            <w:vAlign w:val="center"/>
            <w:hideMark/>
          </w:tcPr>
          <w:p w14:paraId="314E4C90"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0.912</w:t>
            </w:r>
          </w:p>
        </w:tc>
        <w:tc>
          <w:tcPr>
            <w:tcW w:w="985" w:type="pct"/>
            <w:tcBorders>
              <w:top w:val="nil"/>
              <w:left w:val="nil"/>
              <w:bottom w:val="single" w:sz="4" w:space="0" w:color="auto"/>
              <w:right w:val="single" w:sz="4" w:space="0" w:color="auto"/>
            </w:tcBorders>
            <w:vAlign w:val="center"/>
            <w:hideMark/>
          </w:tcPr>
          <w:p w14:paraId="23DBF001"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479318F9"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Good Fit</w:t>
            </w:r>
          </w:p>
        </w:tc>
      </w:tr>
      <w:tr w:rsidR="001E5FF8" w:rsidRPr="001E5FF8" w14:paraId="338C9DA5"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24838F99"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Comparative Fit Index (CFI)</w:t>
            </w:r>
          </w:p>
        </w:tc>
        <w:tc>
          <w:tcPr>
            <w:tcW w:w="692" w:type="pct"/>
            <w:tcBorders>
              <w:top w:val="nil"/>
              <w:left w:val="nil"/>
              <w:bottom w:val="single" w:sz="4" w:space="0" w:color="auto"/>
              <w:right w:val="single" w:sz="4" w:space="0" w:color="auto"/>
            </w:tcBorders>
            <w:vAlign w:val="center"/>
            <w:hideMark/>
          </w:tcPr>
          <w:p w14:paraId="6628ADD5"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0.961</w:t>
            </w:r>
          </w:p>
        </w:tc>
        <w:tc>
          <w:tcPr>
            <w:tcW w:w="985" w:type="pct"/>
            <w:tcBorders>
              <w:top w:val="nil"/>
              <w:left w:val="nil"/>
              <w:bottom w:val="single" w:sz="4" w:space="0" w:color="auto"/>
              <w:right w:val="single" w:sz="4" w:space="0" w:color="auto"/>
            </w:tcBorders>
            <w:vAlign w:val="center"/>
            <w:hideMark/>
          </w:tcPr>
          <w:p w14:paraId="41A1A8A2"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71CF2A09"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Excellent Fit</w:t>
            </w:r>
          </w:p>
        </w:tc>
      </w:tr>
      <w:tr w:rsidR="001E5FF8" w:rsidRPr="001E5FF8" w14:paraId="718B342E"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34889EE1"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Tucker Lewis Index (TLI)</w:t>
            </w:r>
          </w:p>
        </w:tc>
        <w:tc>
          <w:tcPr>
            <w:tcW w:w="692" w:type="pct"/>
            <w:tcBorders>
              <w:top w:val="nil"/>
              <w:left w:val="nil"/>
              <w:bottom w:val="single" w:sz="4" w:space="0" w:color="auto"/>
              <w:right w:val="single" w:sz="4" w:space="0" w:color="auto"/>
            </w:tcBorders>
            <w:vAlign w:val="center"/>
            <w:hideMark/>
          </w:tcPr>
          <w:p w14:paraId="7843F2B4"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0.955</w:t>
            </w:r>
          </w:p>
        </w:tc>
        <w:tc>
          <w:tcPr>
            <w:tcW w:w="985" w:type="pct"/>
            <w:tcBorders>
              <w:top w:val="nil"/>
              <w:left w:val="nil"/>
              <w:bottom w:val="single" w:sz="4" w:space="0" w:color="auto"/>
              <w:right w:val="single" w:sz="4" w:space="0" w:color="auto"/>
            </w:tcBorders>
            <w:vAlign w:val="center"/>
            <w:hideMark/>
          </w:tcPr>
          <w:p w14:paraId="61C2E2D8"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0C855143"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Excellent Fit</w:t>
            </w:r>
          </w:p>
        </w:tc>
      </w:tr>
      <w:tr w:rsidR="001E5FF8" w:rsidRPr="001E5FF8" w14:paraId="36ED1014"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045DB570"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Incremental Fit Index (IFI)</w:t>
            </w:r>
          </w:p>
        </w:tc>
        <w:tc>
          <w:tcPr>
            <w:tcW w:w="692" w:type="pct"/>
            <w:tcBorders>
              <w:top w:val="nil"/>
              <w:left w:val="nil"/>
              <w:bottom w:val="single" w:sz="4" w:space="0" w:color="auto"/>
              <w:right w:val="single" w:sz="4" w:space="0" w:color="auto"/>
            </w:tcBorders>
            <w:vAlign w:val="center"/>
            <w:hideMark/>
          </w:tcPr>
          <w:p w14:paraId="1A062C62"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0.962</w:t>
            </w:r>
          </w:p>
        </w:tc>
        <w:tc>
          <w:tcPr>
            <w:tcW w:w="985" w:type="pct"/>
            <w:tcBorders>
              <w:top w:val="nil"/>
              <w:left w:val="nil"/>
              <w:bottom w:val="single" w:sz="4" w:space="0" w:color="auto"/>
              <w:right w:val="single" w:sz="4" w:space="0" w:color="auto"/>
            </w:tcBorders>
            <w:vAlign w:val="center"/>
            <w:hideMark/>
          </w:tcPr>
          <w:p w14:paraId="79E162E5"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569BED57"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Excellent Fit</w:t>
            </w:r>
          </w:p>
        </w:tc>
      </w:tr>
      <w:tr w:rsidR="001E5FF8" w:rsidRPr="001E5FF8" w14:paraId="6049DC08" w14:textId="77777777" w:rsidTr="001E5FF8">
        <w:trPr>
          <w:trHeight w:val="138"/>
          <w:jc w:val="center"/>
        </w:trPr>
        <w:tc>
          <w:tcPr>
            <w:tcW w:w="2181" w:type="pct"/>
            <w:tcBorders>
              <w:top w:val="nil"/>
              <w:left w:val="single" w:sz="4" w:space="0" w:color="auto"/>
              <w:bottom w:val="single" w:sz="4" w:space="0" w:color="auto"/>
              <w:right w:val="single" w:sz="4" w:space="0" w:color="auto"/>
            </w:tcBorders>
            <w:vAlign w:val="center"/>
            <w:hideMark/>
          </w:tcPr>
          <w:p w14:paraId="3F8E9134"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Normed Fit Index (NFI)</w:t>
            </w:r>
          </w:p>
        </w:tc>
        <w:tc>
          <w:tcPr>
            <w:tcW w:w="692" w:type="pct"/>
            <w:tcBorders>
              <w:top w:val="nil"/>
              <w:left w:val="nil"/>
              <w:bottom w:val="single" w:sz="4" w:space="0" w:color="auto"/>
              <w:right w:val="single" w:sz="4" w:space="0" w:color="auto"/>
            </w:tcBorders>
            <w:vAlign w:val="center"/>
            <w:hideMark/>
          </w:tcPr>
          <w:p w14:paraId="5B654BBC"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0.915</w:t>
            </w:r>
          </w:p>
        </w:tc>
        <w:tc>
          <w:tcPr>
            <w:tcW w:w="985" w:type="pct"/>
            <w:tcBorders>
              <w:top w:val="nil"/>
              <w:left w:val="nil"/>
              <w:bottom w:val="single" w:sz="4" w:space="0" w:color="auto"/>
              <w:right w:val="single" w:sz="4" w:space="0" w:color="auto"/>
            </w:tcBorders>
            <w:vAlign w:val="center"/>
            <w:hideMark/>
          </w:tcPr>
          <w:p w14:paraId="58174EF3"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 0.90</w:t>
            </w:r>
          </w:p>
        </w:tc>
        <w:tc>
          <w:tcPr>
            <w:tcW w:w="1142" w:type="pct"/>
            <w:tcBorders>
              <w:top w:val="nil"/>
              <w:left w:val="nil"/>
              <w:bottom w:val="single" w:sz="4" w:space="0" w:color="auto"/>
              <w:right w:val="single" w:sz="4" w:space="0" w:color="auto"/>
            </w:tcBorders>
            <w:vAlign w:val="center"/>
            <w:hideMark/>
          </w:tcPr>
          <w:p w14:paraId="113CB073"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Good Fit</w:t>
            </w:r>
          </w:p>
        </w:tc>
      </w:tr>
      <w:tr w:rsidR="001E5FF8" w:rsidRPr="001E5FF8" w14:paraId="57B42334" w14:textId="77777777" w:rsidTr="001E5FF8">
        <w:trPr>
          <w:trHeight w:val="402"/>
          <w:jc w:val="center"/>
        </w:trPr>
        <w:tc>
          <w:tcPr>
            <w:tcW w:w="2181" w:type="pct"/>
            <w:tcBorders>
              <w:top w:val="nil"/>
              <w:left w:val="single" w:sz="4" w:space="0" w:color="auto"/>
              <w:bottom w:val="single" w:sz="4" w:space="0" w:color="auto"/>
              <w:right w:val="single" w:sz="4" w:space="0" w:color="auto"/>
            </w:tcBorders>
            <w:vAlign w:val="center"/>
            <w:hideMark/>
          </w:tcPr>
          <w:p w14:paraId="0C8AF7D9"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Root Mean Square Error of Approximation (RMSEA)</w:t>
            </w:r>
          </w:p>
        </w:tc>
        <w:tc>
          <w:tcPr>
            <w:tcW w:w="692" w:type="pct"/>
            <w:tcBorders>
              <w:top w:val="nil"/>
              <w:left w:val="nil"/>
              <w:bottom w:val="single" w:sz="4" w:space="0" w:color="auto"/>
              <w:right w:val="single" w:sz="4" w:space="0" w:color="auto"/>
            </w:tcBorders>
            <w:vAlign w:val="center"/>
            <w:hideMark/>
          </w:tcPr>
          <w:p w14:paraId="4A530A9C"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0.05</w:t>
            </w:r>
          </w:p>
        </w:tc>
        <w:tc>
          <w:tcPr>
            <w:tcW w:w="985" w:type="pct"/>
            <w:tcBorders>
              <w:top w:val="nil"/>
              <w:left w:val="nil"/>
              <w:bottom w:val="single" w:sz="4" w:space="0" w:color="auto"/>
              <w:right w:val="single" w:sz="4" w:space="0" w:color="auto"/>
            </w:tcBorders>
            <w:vAlign w:val="center"/>
            <w:hideMark/>
          </w:tcPr>
          <w:p w14:paraId="6ECAE726"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&lt; 0.08</w:t>
            </w:r>
          </w:p>
        </w:tc>
        <w:tc>
          <w:tcPr>
            <w:tcW w:w="1142" w:type="pct"/>
            <w:tcBorders>
              <w:top w:val="nil"/>
              <w:left w:val="nil"/>
              <w:bottom w:val="single" w:sz="4" w:space="0" w:color="auto"/>
              <w:right w:val="single" w:sz="4" w:space="0" w:color="auto"/>
            </w:tcBorders>
            <w:vAlign w:val="center"/>
            <w:hideMark/>
          </w:tcPr>
          <w:p w14:paraId="79128CE5"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Excellent Fit</w:t>
            </w:r>
          </w:p>
        </w:tc>
      </w:tr>
      <w:tr w:rsidR="001E5FF8" w:rsidRPr="001E5FF8" w14:paraId="70765378"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34B75F07"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Standardized Root Mean Residual (RMR)</w:t>
            </w:r>
          </w:p>
        </w:tc>
        <w:tc>
          <w:tcPr>
            <w:tcW w:w="692" w:type="pct"/>
            <w:tcBorders>
              <w:top w:val="nil"/>
              <w:left w:val="nil"/>
              <w:bottom w:val="single" w:sz="4" w:space="0" w:color="auto"/>
              <w:right w:val="single" w:sz="4" w:space="0" w:color="auto"/>
            </w:tcBorders>
            <w:vAlign w:val="center"/>
            <w:hideMark/>
          </w:tcPr>
          <w:p w14:paraId="79C560E9"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0.092</w:t>
            </w:r>
          </w:p>
        </w:tc>
        <w:tc>
          <w:tcPr>
            <w:tcW w:w="985" w:type="pct"/>
            <w:tcBorders>
              <w:top w:val="nil"/>
              <w:left w:val="nil"/>
              <w:bottom w:val="single" w:sz="4" w:space="0" w:color="auto"/>
              <w:right w:val="single" w:sz="4" w:space="0" w:color="auto"/>
            </w:tcBorders>
            <w:vAlign w:val="center"/>
            <w:hideMark/>
          </w:tcPr>
          <w:p w14:paraId="2423D4E4"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&lt; 0.08</w:t>
            </w:r>
          </w:p>
        </w:tc>
        <w:tc>
          <w:tcPr>
            <w:tcW w:w="1142" w:type="pct"/>
            <w:tcBorders>
              <w:top w:val="nil"/>
              <w:left w:val="nil"/>
              <w:bottom w:val="single" w:sz="4" w:space="0" w:color="auto"/>
              <w:right w:val="single" w:sz="4" w:space="0" w:color="auto"/>
            </w:tcBorders>
            <w:vAlign w:val="center"/>
            <w:hideMark/>
          </w:tcPr>
          <w:p w14:paraId="0DAAE741"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Acceptable Fit</w:t>
            </w:r>
          </w:p>
        </w:tc>
      </w:tr>
      <w:tr w:rsidR="001E5FF8" w:rsidRPr="001E5FF8" w14:paraId="528E5C43"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066D1EE7"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Parsimony Goodness Fit Index (PGFI)</w:t>
            </w:r>
          </w:p>
        </w:tc>
        <w:tc>
          <w:tcPr>
            <w:tcW w:w="692" w:type="pct"/>
            <w:tcBorders>
              <w:top w:val="nil"/>
              <w:left w:val="nil"/>
              <w:bottom w:val="single" w:sz="4" w:space="0" w:color="auto"/>
              <w:right w:val="single" w:sz="4" w:space="0" w:color="auto"/>
            </w:tcBorders>
            <w:vAlign w:val="center"/>
            <w:hideMark/>
          </w:tcPr>
          <w:p w14:paraId="23474495"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0.701</w:t>
            </w:r>
          </w:p>
        </w:tc>
        <w:tc>
          <w:tcPr>
            <w:tcW w:w="985" w:type="pct"/>
            <w:tcBorders>
              <w:top w:val="nil"/>
              <w:left w:val="nil"/>
              <w:bottom w:val="single" w:sz="4" w:space="0" w:color="auto"/>
              <w:right w:val="single" w:sz="4" w:space="0" w:color="auto"/>
            </w:tcBorders>
            <w:vAlign w:val="center"/>
            <w:hideMark/>
          </w:tcPr>
          <w:p w14:paraId="001ED89B"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&gt; 0.50</w:t>
            </w:r>
          </w:p>
        </w:tc>
        <w:tc>
          <w:tcPr>
            <w:tcW w:w="1142" w:type="pct"/>
            <w:tcBorders>
              <w:top w:val="nil"/>
              <w:left w:val="nil"/>
              <w:bottom w:val="single" w:sz="4" w:space="0" w:color="auto"/>
              <w:right w:val="single" w:sz="4" w:space="0" w:color="auto"/>
            </w:tcBorders>
            <w:vAlign w:val="center"/>
            <w:hideMark/>
          </w:tcPr>
          <w:p w14:paraId="3A6868EF"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Acceptable Fit</w:t>
            </w:r>
          </w:p>
        </w:tc>
      </w:tr>
      <w:tr w:rsidR="001E5FF8" w:rsidRPr="001E5FF8" w14:paraId="6A2E5635" w14:textId="77777777" w:rsidTr="001E5FF8">
        <w:trPr>
          <w:trHeight w:val="268"/>
          <w:jc w:val="center"/>
        </w:trPr>
        <w:tc>
          <w:tcPr>
            <w:tcW w:w="2181" w:type="pct"/>
            <w:tcBorders>
              <w:top w:val="nil"/>
              <w:left w:val="single" w:sz="4" w:space="0" w:color="auto"/>
              <w:bottom w:val="single" w:sz="4" w:space="0" w:color="auto"/>
              <w:right w:val="single" w:sz="4" w:space="0" w:color="auto"/>
            </w:tcBorders>
            <w:vAlign w:val="center"/>
            <w:hideMark/>
          </w:tcPr>
          <w:p w14:paraId="3A764A7C"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Parsimony Normed Fit Index (PNFI)</w:t>
            </w:r>
          </w:p>
        </w:tc>
        <w:tc>
          <w:tcPr>
            <w:tcW w:w="692" w:type="pct"/>
            <w:tcBorders>
              <w:top w:val="nil"/>
              <w:left w:val="nil"/>
              <w:bottom w:val="single" w:sz="4" w:space="0" w:color="auto"/>
              <w:right w:val="single" w:sz="4" w:space="0" w:color="auto"/>
            </w:tcBorders>
            <w:vAlign w:val="center"/>
            <w:hideMark/>
          </w:tcPr>
          <w:p w14:paraId="67145036"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0.778</w:t>
            </w:r>
          </w:p>
        </w:tc>
        <w:tc>
          <w:tcPr>
            <w:tcW w:w="985" w:type="pct"/>
            <w:tcBorders>
              <w:top w:val="nil"/>
              <w:left w:val="nil"/>
              <w:bottom w:val="single" w:sz="4" w:space="0" w:color="auto"/>
              <w:right w:val="single" w:sz="4" w:space="0" w:color="auto"/>
            </w:tcBorders>
            <w:vAlign w:val="center"/>
            <w:hideMark/>
          </w:tcPr>
          <w:p w14:paraId="1156074E"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&gt; 0.50</w:t>
            </w:r>
          </w:p>
        </w:tc>
        <w:tc>
          <w:tcPr>
            <w:tcW w:w="1142" w:type="pct"/>
            <w:tcBorders>
              <w:top w:val="nil"/>
              <w:left w:val="nil"/>
              <w:bottom w:val="single" w:sz="4" w:space="0" w:color="auto"/>
              <w:right w:val="single" w:sz="4" w:space="0" w:color="auto"/>
            </w:tcBorders>
            <w:vAlign w:val="center"/>
            <w:hideMark/>
          </w:tcPr>
          <w:p w14:paraId="2C62ED17"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Acceptable Fit</w:t>
            </w:r>
          </w:p>
        </w:tc>
      </w:tr>
      <w:tr w:rsidR="001E5FF8" w:rsidRPr="001E5FF8" w14:paraId="26B81702" w14:textId="77777777" w:rsidTr="001E5FF8">
        <w:trPr>
          <w:trHeight w:val="268"/>
          <w:jc w:val="center"/>
        </w:trPr>
        <w:tc>
          <w:tcPr>
            <w:tcW w:w="2181" w:type="pct"/>
            <w:tcBorders>
              <w:top w:val="single" w:sz="4" w:space="0" w:color="auto"/>
              <w:left w:val="single" w:sz="4" w:space="0" w:color="auto"/>
              <w:bottom w:val="single" w:sz="4" w:space="0" w:color="auto"/>
              <w:right w:val="single" w:sz="4" w:space="0" w:color="auto"/>
            </w:tcBorders>
            <w:vAlign w:val="center"/>
            <w:hideMark/>
          </w:tcPr>
          <w:p w14:paraId="0EAE1AB4" w14:textId="77777777" w:rsidR="00B15F19" w:rsidRPr="001E5FF8" w:rsidRDefault="00B15F19" w:rsidP="001E5FF8">
            <w:pPr>
              <w:spacing w:after="0" w:line="240" w:lineRule="auto"/>
              <w:jc w:val="both"/>
              <w:rPr>
                <w:rFonts w:ascii="Times New Roman" w:eastAsia="Times New Roman" w:hAnsi="Times New Roman" w:cs="Times New Roman"/>
                <w:b/>
                <w:bCs/>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Parsimony Comparative Fit Index (PCFI)</w:t>
            </w:r>
          </w:p>
        </w:tc>
        <w:tc>
          <w:tcPr>
            <w:tcW w:w="692" w:type="pct"/>
            <w:tcBorders>
              <w:top w:val="single" w:sz="4" w:space="0" w:color="auto"/>
              <w:left w:val="nil"/>
              <w:bottom w:val="single" w:sz="4" w:space="0" w:color="auto"/>
              <w:right w:val="single" w:sz="4" w:space="0" w:color="auto"/>
            </w:tcBorders>
            <w:vAlign w:val="center"/>
            <w:hideMark/>
          </w:tcPr>
          <w:p w14:paraId="48433100"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0.817</w:t>
            </w:r>
          </w:p>
        </w:tc>
        <w:tc>
          <w:tcPr>
            <w:tcW w:w="985" w:type="pct"/>
            <w:tcBorders>
              <w:top w:val="single" w:sz="4" w:space="0" w:color="auto"/>
              <w:left w:val="nil"/>
              <w:bottom w:val="single" w:sz="4" w:space="0" w:color="auto"/>
              <w:right w:val="single" w:sz="4" w:space="0" w:color="auto"/>
            </w:tcBorders>
            <w:vAlign w:val="center"/>
            <w:hideMark/>
          </w:tcPr>
          <w:p w14:paraId="54BB9D06"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&gt; 0.50</w:t>
            </w:r>
          </w:p>
        </w:tc>
        <w:tc>
          <w:tcPr>
            <w:tcW w:w="1142" w:type="pct"/>
            <w:tcBorders>
              <w:top w:val="single" w:sz="4" w:space="0" w:color="auto"/>
              <w:left w:val="nil"/>
              <w:bottom w:val="single" w:sz="4" w:space="0" w:color="auto"/>
              <w:right w:val="single" w:sz="4" w:space="0" w:color="auto"/>
            </w:tcBorders>
            <w:vAlign w:val="center"/>
            <w:hideMark/>
          </w:tcPr>
          <w:p w14:paraId="3C83C8B8" w14:textId="77777777" w:rsidR="00B15F19" w:rsidRPr="001E5FF8" w:rsidRDefault="00B15F19"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color w:val="1F497D"/>
                <w:kern w:val="0"/>
                <w:sz w:val="20"/>
                <w:szCs w:val="20"/>
                <w:lang w:eastAsia="en-IN"/>
                <w14:ligatures w14:val="none"/>
              </w:rPr>
              <w:t>Acceptable Fit</w:t>
            </w:r>
          </w:p>
        </w:tc>
      </w:tr>
      <w:tr w:rsidR="001E5FF8" w:rsidRPr="001E5FF8" w14:paraId="36D9BB12" w14:textId="77777777" w:rsidTr="001E5FF8">
        <w:trPr>
          <w:trHeight w:val="26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F93101" w14:textId="6CAA0DF7" w:rsidR="00E33764" w:rsidRPr="001E5FF8" w:rsidRDefault="00E33764" w:rsidP="001E5FF8">
            <w:pPr>
              <w:spacing w:after="0" w:line="240" w:lineRule="auto"/>
              <w:jc w:val="both"/>
              <w:rPr>
                <w:rFonts w:ascii="Times New Roman" w:eastAsia="Times New Roman" w:hAnsi="Times New Roman" w:cs="Times New Roman"/>
                <w:color w:val="1F497D"/>
                <w:kern w:val="0"/>
                <w:sz w:val="20"/>
                <w:szCs w:val="20"/>
                <w:lang w:eastAsia="en-IN"/>
                <w14:ligatures w14:val="none"/>
              </w:rPr>
            </w:pPr>
            <w:r w:rsidRPr="001E5FF8">
              <w:rPr>
                <w:rFonts w:ascii="Times New Roman" w:eastAsia="Times New Roman" w:hAnsi="Times New Roman" w:cs="Times New Roman"/>
                <w:b/>
                <w:bCs/>
                <w:color w:val="1F497D"/>
                <w:kern w:val="0"/>
                <w:sz w:val="20"/>
                <w:szCs w:val="20"/>
                <w:lang w:eastAsia="en-IN"/>
                <w14:ligatures w14:val="none"/>
              </w:rPr>
              <w:t>Source: AMOS Output</w:t>
            </w:r>
          </w:p>
        </w:tc>
      </w:tr>
    </w:tbl>
    <w:p w14:paraId="00E4EBB4" w14:textId="77777777" w:rsidR="00B15F19" w:rsidRPr="001E5FF8" w:rsidRDefault="00B15F19" w:rsidP="001E5FF8">
      <w:pPr>
        <w:spacing w:after="0" w:line="240" w:lineRule="auto"/>
        <w:jc w:val="both"/>
        <w:rPr>
          <w:rFonts w:ascii="Times New Roman" w:hAnsi="Times New Roman" w:cs="Times New Roman"/>
          <w:color w:val="1F497D"/>
          <w:sz w:val="20"/>
          <w:szCs w:val="20"/>
        </w:rPr>
      </w:pPr>
    </w:p>
    <w:p w14:paraId="2E11FEF8" w14:textId="77777777" w:rsidR="001E5FF8" w:rsidRDefault="001E5FF8" w:rsidP="001E5FF8">
      <w:pPr>
        <w:spacing w:after="0" w:line="240" w:lineRule="auto"/>
        <w:jc w:val="both"/>
        <w:rPr>
          <w:rFonts w:ascii="Times New Roman" w:hAnsi="Times New Roman" w:cs="Times New Roman"/>
          <w:color w:val="1F497D"/>
          <w:sz w:val="20"/>
          <w:szCs w:val="20"/>
        </w:rPr>
        <w:sectPr w:rsidR="001E5FF8" w:rsidSect="001E5FF8">
          <w:type w:val="continuous"/>
          <w:pgSz w:w="11906" w:h="16838" w:code="9"/>
          <w:pgMar w:top="1021" w:right="1066" w:bottom="964" w:left="1168" w:header="851" w:footer="777" w:gutter="0"/>
          <w:cols w:space="708"/>
          <w:titlePg/>
          <w:docGrid w:linePitch="360"/>
        </w:sectPr>
      </w:pPr>
    </w:p>
    <w:p w14:paraId="4C5D6D49" w14:textId="10FAC570" w:rsidR="00D06246" w:rsidRPr="001E5FF8" w:rsidRDefault="00C70215" w:rsidP="001E5FF8">
      <w:pPr>
        <w:spacing w:after="0" w:line="240" w:lineRule="auto"/>
        <w:jc w:val="both"/>
        <w:rPr>
          <w:rFonts w:ascii="Times New Roman" w:hAnsi="Times New Roman" w:cs="Times New Roman"/>
          <w:color w:val="1F497D"/>
          <w:sz w:val="20"/>
          <w:szCs w:val="20"/>
        </w:rPr>
      </w:pPr>
      <w:r w:rsidRPr="001E5FF8">
        <w:rPr>
          <w:rFonts w:ascii="Times New Roman" w:hAnsi="Times New Roman" w:cs="Times New Roman"/>
          <w:color w:val="1F497D"/>
          <w:sz w:val="20"/>
          <w:szCs w:val="20"/>
        </w:rPr>
        <w:t>The Structural Equation Modelling results provide empirical support for the proposed framework, examining the determinants of Intermediaries’ Performance.  The Measurement and Structural Model fit indices a satisfactory level of model adequacy as the chi-square value was 1.947, comparative fit index (CFI = 0.957) and Goodness of fit Index (GFI = 0.934) fall within the accepted range for SEM, thereby asserting the credibility of the specified model structure. The result shows that the awareness and market perception, policy and procedural and operational dimensions have significant and positive effects on intermediaries’ performance. Among the three Predictors, policy and operational factors demonstrated comparatively stronger effects, highlighting their crucial role in driving intermediary efficiency.</w:t>
      </w:r>
      <w:r w:rsidR="00276710" w:rsidRPr="001E5FF8">
        <w:rPr>
          <w:rFonts w:ascii="Times New Roman" w:hAnsi="Times New Roman" w:cs="Times New Roman"/>
          <w:color w:val="1F497D"/>
          <w:sz w:val="20"/>
          <w:szCs w:val="20"/>
        </w:rPr>
        <w:t xml:space="preserve"> Practically, the findings suggest that policymakers and </w:t>
      </w:r>
      <w:r w:rsidR="00DA3D24" w:rsidRPr="001E5FF8">
        <w:rPr>
          <w:rFonts w:ascii="Times New Roman" w:hAnsi="Times New Roman" w:cs="Times New Roman"/>
          <w:color w:val="1F497D"/>
          <w:sz w:val="20"/>
          <w:szCs w:val="20"/>
        </w:rPr>
        <w:t>institutions</w:t>
      </w:r>
      <w:r w:rsidR="00276710" w:rsidRPr="001E5FF8">
        <w:rPr>
          <w:rFonts w:ascii="Times New Roman" w:hAnsi="Times New Roman" w:cs="Times New Roman"/>
          <w:color w:val="1F497D"/>
          <w:sz w:val="20"/>
          <w:szCs w:val="20"/>
        </w:rPr>
        <w:t xml:space="preserve"> should work together to strengthen skills, improve policies, and </w:t>
      </w:r>
      <w:r w:rsidR="00DA3D24" w:rsidRPr="001E5FF8">
        <w:rPr>
          <w:rFonts w:ascii="Times New Roman" w:hAnsi="Times New Roman" w:cs="Times New Roman"/>
          <w:color w:val="1F497D"/>
          <w:sz w:val="20"/>
          <w:szCs w:val="20"/>
        </w:rPr>
        <w:t>operations</w:t>
      </w:r>
      <w:r w:rsidR="00276710" w:rsidRPr="001E5FF8">
        <w:rPr>
          <w:rFonts w:ascii="Times New Roman" w:hAnsi="Times New Roman" w:cs="Times New Roman"/>
          <w:color w:val="1F497D"/>
          <w:sz w:val="20"/>
          <w:szCs w:val="20"/>
        </w:rPr>
        <w:t xml:space="preserve"> to enhance intermediary performance.</w:t>
      </w:r>
    </w:p>
    <w:p w14:paraId="5BFA073F" w14:textId="77777777" w:rsidR="001E5FF8" w:rsidRPr="001E5FF8" w:rsidRDefault="001E5FF8" w:rsidP="001E5FF8">
      <w:pPr>
        <w:spacing w:after="0" w:line="240" w:lineRule="auto"/>
        <w:jc w:val="both"/>
        <w:rPr>
          <w:rFonts w:ascii="Times New Roman" w:hAnsi="Times New Roman" w:cs="Times New Roman"/>
          <w:color w:val="1F497D"/>
          <w:sz w:val="20"/>
          <w:szCs w:val="20"/>
        </w:rPr>
      </w:pPr>
    </w:p>
    <w:p w14:paraId="2F7F0E35" w14:textId="73AC955A" w:rsidR="00DA3D24" w:rsidRPr="001E5FF8" w:rsidRDefault="00DA3D24" w:rsidP="001E5FF8">
      <w:pPr>
        <w:pStyle w:val="Heading1"/>
        <w:spacing w:before="0" w:after="0" w:line="240" w:lineRule="auto"/>
        <w:jc w:val="both"/>
        <w:rPr>
          <w:rFonts w:ascii="Times New Roman" w:hAnsi="Times New Roman" w:cs="Times New Roman"/>
          <w:b/>
          <w:bCs/>
          <w:color w:val="1F497D"/>
          <w:sz w:val="20"/>
          <w:szCs w:val="20"/>
        </w:rPr>
      </w:pPr>
      <w:r w:rsidRPr="001E5FF8">
        <w:rPr>
          <w:rFonts w:ascii="Times New Roman" w:hAnsi="Times New Roman" w:cs="Times New Roman"/>
          <w:b/>
          <w:bCs/>
          <w:color w:val="1F497D"/>
          <w:sz w:val="20"/>
          <w:szCs w:val="20"/>
        </w:rPr>
        <w:t>Findings of the Study</w:t>
      </w:r>
    </w:p>
    <w:p w14:paraId="4770CC7B" w14:textId="1069FCC9" w:rsidR="00DA3D24" w:rsidRPr="001E5FF8" w:rsidRDefault="00DA3D24" w:rsidP="001E5FF8">
      <w:pPr>
        <w:spacing w:after="0" w:line="240" w:lineRule="auto"/>
        <w:jc w:val="both"/>
        <w:rPr>
          <w:rFonts w:ascii="Times New Roman" w:hAnsi="Times New Roman" w:cs="Times New Roman"/>
          <w:color w:val="1F497D"/>
          <w:sz w:val="20"/>
          <w:szCs w:val="20"/>
        </w:rPr>
      </w:pPr>
      <w:r w:rsidRPr="001E5FF8">
        <w:rPr>
          <w:rFonts w:ascii="Times New Roman" w:hAnsi="Times New Roman" w:cs="Times New Roman"/>
          <w:color w:val="1F497D"/>
          <w:sz w:val="20"/>
          <w:szCs w:val="20"/>
        </w:rPr>
        <w:t>The frequency distribution found that financial illiteracy, lack of awareness, difficulty in convincing customers, claim settlement delays and digital issues were considered to be major and significant challenges. The three major components</w:t>
      </w:r>
      <w:r w:rsidR="00D33F82" w:rsidRPr="001E5FF8">
        <w:rPr>
          <w:rFonts w:ascii="Times New Roman" w:hAnsi="Times New Roman" w:cs="Times New Roman"/>
          <w:color w:val="1F497D"/>
          <w:sz w:val="20"/>
          <w:szCs w:val="20"/>
        </w:rPr>
        <w:t xml:space="preserve"> found were named as </w:t>
      </w:r>
      <w:r w:rsidRPr="001E5FF8">
        <w:rPr>
          <w:rFonts w:ascii="Times New Roman" w:hAnsi="Times New Roman" w:cs="Times New Roman"/>
          <w:color w:val="1F497D"/>
          <w:sz w:val="20"/>
          <w:szCs w:val="20"/>
        </w:rPr>
        <w:t>awareness &amp; Market Perception, Policy &amp; Procedural</w:t>
      </w:r>
      <w:r w:rsidR="00746259" w:rsidRPr="001E5FF8">
        <w:rPr>
          <w:rFonts w:ascii="Times New Roman" w:hAnsi="Times New Roman" w:cs="Times New Roman"/>
          <w:color w:val="1F497D"/>
          <w:sz w:val="20"/>
          <w:szCs w:val="20"/>
        </w:rPr>
        <w:t xml:space="preserve"> </w:t>
      </w:r>
      <w:r w:rsidRPr="001E5FF8">
        <w:rPr>
          <w:rFonts w:ascii="Times New Roman" w:hAnsi="Times New Roman" w:cs="Times New Roman"/>
          <w:color w:val="1F497D"/>
          <w:sz w:val="20"/>
          <w:szCs w:val="20"/>
        </w:rPr>
        <w:t>and operational</w:t>
      </w:r>
      <w:r w:rsidR="00D33F82" w:rsidRPr="001E5FF8">
        <w:rPr>
          <w:rFonts w:ascii="Times New Roman" w:hAnsi="Times New Roman" w:cs="Times New Roman"/>
          <w:color w:val="1F497D"/>
          <w:sz w:val="20"/>
          <w:szCs w:val="20"/>
        </w:rPr>
        <w:t xml:space="preserve"> </w:t>
      </w:r>
      <w:r w:rsidRPr="001E5FF8">
        <w:rPr>
          <w:rFonts w:ascii="Times New Roman" w:hAnsi="Times New Roman" w:cs="Times New Roman"/>
          <w:color w:val="1F497D"/>
          <w:sz w:val="20"/>
          <w:szCs w:val="20"/>
        </w:rPr>
        <w:t>based on factor loading through Principal Component Analysis. Through SEM, it was confirmed that Awareness &amp; Market Perception, Policy &amp; Procedural Factors and operational factors all had significant and positive impacts on the performance of intermediaries.</w:t>
      </w:r>
    </w:p>
    <w:p w14:paraId="6CBA906E" w14:textId="77777777" w:rsidR="001E5FF8" w:rsidRPr="001E5FF8" w:rsidRDefault="001E5FF8" w:rsidP="001E5FF8">
      <w:pPr>
        <w:spacing w:after="0" w:line="240" w:lineRule="auto"/>
        <w:jc w:val="both"/>
        <w:rPr>
          <w:rFonts w:ascii="Times New Roman" w:hAnsi="Times New Roman" w:cs="Times New Roman"/>
          <w:color w:val="1F497D"/>
          <w:sz w:val="20"/>
          <w:szCs w:val="20"/>
        </w:rPr>
      </w:pPr>
    </w:p>
    <w:p w14:paraId="64430357" w14:textId="3A92B6DA" w:rsidR="00DA3D24" w:rsidRPr="001E5FF8" w:rsidRDefault="00757E5A" w:rsidP="001E5FF8">
      <w:pPr>
        <w:pStyle w:val="Heading1"/>
        <w:spacing w:before="0" w:after="0" w:line="240" w:lineRule="auto"/>
        <w:jc w:val="both"/>
        <w:rPr>
          <w:rFonts w:ascii="Times New Roman" w:hAnsi="Times New Roman" w:cs="Times New Roman"/>
          <w:b/>
          <w:bCs/>
          <w:color w:val="1F497D"/>
          <w:sz w:val="20"/>
          <w:szCs w:val="20"/>
        </w:rPr>
      </w:pPr>
      <w:r w:rsidRPr="001E5FF8">
        <w:rPr>
          <w:rFonts w:ascii="Times New Roman" w:hAnsi="Times New Roman" w:cs="Times New Roman"/>
          <w:b/>
          <w:bCs/>
          <w:color w:val="1F497D"/>
          <w:sz w:val="20"/>
          <w:szCs w:val="20"/>
        </w:rPr>
        <w:t>CONCLUSION</w:t>
      </w:r>
    </w:p>
    <w:p w14:paraId="29B0A0D4" w14:textId="28F9D7EA" w:rsidR="00DA3D24" w:rsidRPr="001E5FF8" w:rsidRDefault="00DA3D24" w:rsidP="001E5FF8">
      <w:pPr>
        <w:spacing w:after="0" w:line="240" w:lineRule="auto"/>
        <w:jc w:val="both"/>
        <w:rPr>
          <w:rFonts w:ascii="Times New Roman" w:hAnsi="Times New Roman" w:cs="Times New Roman"/>
          <w:color w:val="1F497D"/>
          <w:sz w:val="20"/>
          <w:szCs w:val="20"/>
        </w:rPr>
      </w:pPr>
      <w:r w:rsidRPr="001E5FF8">
        <w:rPr>
          <w:rFonts w:ascii="Times New Roman" w:hAnsi="Times New Roman" w:cs="Times New Roman"/>
          <w:color w:val="1F497D"/>
          <w:sz w:val="20"/>
          <w:szCs w:val="20"/>
        </w:rPr>
        <w:t xml:space="preserve">The study concludes that the performance of the intermediary in selling social security schemes is influenced by three interrelated dimensions, which are Awareness &amp; Market Perception, Policy &amp; Procedural Factors and operational factors. A lack of awareness among people and having customer misconceptions can </w:t>
      </w:r>
      <w:r w:rsidR="00626A1B" w:rsidRPr="001E5FF8">
        <w:rPr>
          <w:rFonts w:ascii="Times New Roman" w:hAnsi="Times New Roman" w:cs="Times New Roman"/>
          <w:color w:val="1F497D"/>
          <w:sz w:val="20"/>
          <w:szCs w:val="20"/>
        </w:rPr>
        <w:t>hinder</w:t>
      </w:r>
      <w:r w:rsidRPr="001E5FF8">
        <w:rPr>
          <w:rFonts w:ascii="Times New Roman" w:hAnsi="Times New Roman" w:cs="Times New Roman"/>
          <w:color w:val="1F497D"/>
          <w:sz w:val="20"/>
          <w:szCs w:val="20"/>
        </w:rPr>
        <w:t xml:space="preserve"> the efforts to outreach, while procedural inefficiencies and limited support from operational </w:t>
      </w:r>
      <w:r w:rsidR="00626A1B" w:rsidRPr="001E5FF8">
        <w:rPr>
          <w:rFonts w:ascii="Times New Roman" w:hAnsi="Times New Roman" w:cs="Times New Roman"/>
          <w:color w:val="1F497D"/>
          <w:sz w:val="20"/>
          <w:szCs w:val="20"/>
        </w:rPr>
        <w:t>mechanisms</w:t>
      </w:r>
      <w:r w:rsidRPr="001E5FF8">
        <w:rPr>
          <w:rFonts w:ascii="Times New Roman" w:hAnsi="Times New Roman" w:cs="Times New Roman"/>
          <w:color w:val="1F497D"/>
          <w:sz w:val="20"/>
          <w:szCs w:val="20"/>
        </w:rPr>
        <w:t xml:space="preserve"> further constrain the performance of Intermediaries</w:t>
      </w:r>
      <w:r w:rsidR="00626A1B" w:rsidRPr="001E5FF8">
        <w:rPr>
          <w:rFonts w:ascii="Times New Roman" w:hAnsi="Times New Roman" w:cs="Times New Roman"/>
          <w:color w:val="1F497D"/>
          <w:sz w:val="20"/>
          <w:szCs w:val="20"/>
        </w:rPr>
        <w:t xml:space="preserve">. Strengthening these dimensions can significantly enhance the efficiency and performance of </w:t>
      </w:r>
      <w:r w:rsidR="00626A1B" w:rsidRPr="001E5FF8">
        <w:rPr>
          <w:rFonts w:ascii="Times New Roman" w:hAnsi="Times New Roman" w:cs="Times New Roman"/>
          <w:color w:val="1F497D"/>
          <w:sz w:val="20"/>
          <w:szCs w:val="20"/>
        </w:rPr>
        <w:t>intermediaries and thereby improve the outreach and success of social security schemes among the public</w:t>
      </w:r>
      <w:r w:rsidR="001975F1" w:rsidRPr="001E5FF8">
        <w:rPr>
          <w:rFonts w:ascii="Times New Roman" w:hAnsi="Times New Roman" w:cs="Times New Roman"/>
          <w:color w:val="1F497D"/>
          <w:sz w:val="20"/>
          <w:szCs w:val="20"/>
        </w:rPr>
        <w:t>.</w:t>
      </w:r>
    </w:p>
    <w:p w14:paraId="7A60DA59" w14:textId="77777777" w:rsidR="001975F1" w:rsidRPr="001E5FF8" w:rsidRDefault="001975F1" w:rsidP="001E5FF8">
      <w:pPr>
        <w:spacing w:after="0" w:line="240" w:lineRule="auto"/>
        <w:jc w:val="both"/>
        <w:rPr>
          <w:rFonts w:ascii="Times New Roman" w:hAnsi="Times New Roman" w:cs="Times New Roman"/>
          <w:color w:val="1F497D"/>
          <w:sz w:val="20"/>
          <w:szCs w:val="20"/>
        </w:rPr>
      </w:pPr>
    </w:p>
    <w:p w14:paraId="16FB5DF9" w14:textId="43310557" w:rsidR="001975F1" w:rsidRPr="001E5FF8" w:rsidRDefault="001975F1" w:rsidP="001E5FF8">
      <w:pPr>
        <w:pStyle w:val="Heading1"/>
        <w:spacing w:before="0" w:after="0" w:line="240" w:lineRule="auto"/>
        <w:jc w:val="both"/>
        <w:rPr>
          <w:rFonts w:ascii="Times New Roman" w:hAnsi="Times New Roman" w:cs="Times New Roman"/>
          <w:b/>
          <w:bCs/>
          <w:color w:val="1F497D"/>
          <w:sz w:val="20"/>
          <w:szCs w:val="20"/>
        </w:rPr>
      </w:pPr>
      <w:r w:rsidRPr="001E5FF8">
        <w:rPr>
          <w:rFonts w:ascii="Times New Roman" w:hAnsi="Times New Roman" w:cs="Times New Roman"/>
          <w:b/>
          <w:bCs/>
          <w:color w:val="1F497D"/>
          <w:sz w:val="20"/>
          <w:szCs w:val="20"/>
        </w:rPr>
        <w:t>R</w:t>
      </w:r>
      <w:r w:rsidR="000619B1" w:rsidRPr="001E5FF8">
        <w:rPr>
          <w:rFonts w:ascii="Times New Roman" w:hAnsi="Times New Roman" w:cs="Times New Roman"/>
          <w:b/>
          <w:bCs/>
          <w:color w:val="1F497D"/>
          <w:sz w:val="20"/>
          <w:szCs w:val="20"/>
        </w:rPr>
        <w:t>EFERENCES</w:t>
      </w:r>
    </w:p>
    <w:p w14:paraId="5079469E" w14:textId="77777777" w:rsidR="00A53672" w:rsidRPr="001E5FF8" w:rsidRDefault="00A53672" w:rsidP="001E5FF8">
      <w:pPr>
        <w:pStyle w:val="NormalWeb"/>
        <w:numPr>
          <w:ilvl w:val="0"/>
          <w:numId w:val="2"/>
        </w:numPr>
        <w:spacing w:before="0" w:beforeAutospacing="0" w:after="0" w:afterAutospacing="0"/>
        <w:ind w:left="284" w:hanging="284"/>
        <w:jc w:val="both"/>
        <w:rPr>
          <w:color w:val="1F497D"/>
          <w:sz w:val="20"/>
          <w:szCs w:val="20"/>
        </w:rPr>
      </w:pPr>
      <w:r w:rsidRPr="001E5FF8">
        <w:rPr>
          <w:color w:val="1F497D"/>
          <w:sz w:val="20"/>
          <w:szCs w:val="20"/>
          <w:lang w:val="sv-SE"/>
        </w:rPr>
        <w:t>Allen, F., Demirgüç-Kunt, A., Klapper, L., &amp; Peria, M. S. M. (2016).</w:t>
      </w:r>
      <w:r w:rsidRPr="001E5FF8">
        <w:rPr>
          <w:i/>
          <w:iCs/>
          <w:color w:val="1F497D"/>
          <w:sz w:val="20"/>
          <w:szCs w:val="20"/>
          <w:lang w:val="sv-SE"/>
        </w:rPr>
        <w:t xml:space="preserve"> </w:t>
      </w:r>
      <w:r w:rsidRPr="001E5FF8">
        <w:rPr>
          <w:rStyle w:val="Emphasis"/>
          <w:rFonts w:eastAsiaTheme="majorEastAsia"/>
          <w:i w:val="0"/>
          <w:iCs w:val="0"/>
          <w:color w:val="1F497D"/>
          <w:sz w:val="20"/>
          <w:szCs w:val="20"/>
        </w:rPr>
        <w:t>The foundations of financial inclusion: Understanding ownership and use of formal accounts.</w:t>
      </w:r>
      <w:r w:rsidRPr="001E5FF8">
        <w:rPr>
          <w:i/>
          <w:iCs/>
          <w:color w:val="1F497D"/>
          <w:sz w:val="20"/>
          <w:szCs w:val="20"/>
        </w:rPr>
        <w:t xml:space="preserve"> </w:t>
      </w:r>
      <w:r w:rsidRPr="001E5FF8">
        <w:rPr>
          <w:rStyle w:val="Emphasis"/>
          <w:rFonts w:eastAsiaTheme="majorEastAsia"/>
          <w:i w:val="0"/>
          <w:iCs w:val="0"/>
          <w:color w:val="1F497D"/>
          <w:sz w:val="20"/>
          <w:szCs w:val="20"/>
        </w:rPr>
        <w:t>Journal of Financial Intermediation, 27</w:t>
      </w:r>
      <w:r w:rsidRPr="001E5FF8">
        <w:rPr>
          <w:i/>
          <w:iCs/>
          <w:color w:val="1F497D"/>
          <w:sz w:val="20"/>
          <w:szCs w:val="20"/>
        </w:rPr>
        <w:t>, 1–30</w:t>
      </w:r>
      <w:r w:rsidRPr="001E5FF8">
        <w:rPr>
          <w:color w:val="1F497D"/>
          <w:sz w:val="20"/>
          <w:szCs w:val="20"/>
        </w:rPr>
        <w:t xml:space="preserve">. </w:t>
      </w:r>
      <w:hyperlink r:id="rId14" w:tgtFrame="_new" w:history="1">
        <w:r w:rsidRPr="001E5FF8">
          <w:rPr>
            <w:rStyle w:val="Hyperlink"/>
            <w:rFonts w:eastAsiaTheme="majorEastAsia"/>
            <w:color w:val="1F497D"/>
            <w:sz w:val="20"/>
            <w:szCs w:val="20"/>
          </w:rPr>
          <w:t>https://doi.org/10.1016/j.jfi.2015.12.003</w:t>
        </w:r>
      </w:hyperlink>
    </w:p>
    <w:p w14:paraId="5796F576" w14:textId="77777777" w:rsidR="00A53672" w:rsidRPr="001E5FF8" w:rsidRDefault="00A53672" w:rsidP="001E5FF8">
      <w:pPr>
        <w:pStyle w:val="NormalWeb"/>
        <w:numPr>
          <w:ilvl w:val="0"/>
          <w:numId w:val="2"/>
        </w:numPr>
        <w:spacing w:before="0" w:beforeAutospacing="0" w:after="0" w:afterAutospacing="0"/>
        <w:ind w:left="284" w:hanging="284"/>
        <w:jc w:val="both"/>
        <w:rPr>
          <w:color w:val="1F497D"/>
          <w:sz w:val="20"/>
          <w:szCs w:val="20"/>
        </w:rPr>
      </w:pPr>
      <w:r w:rsidRPr="001E5FF8">
        <w:rPr>
          <w:color w:val="1F497D"/>
          <w:sz w:val="20"/>
          <w:szCs w:val="20"/>
        </w:rPr>
        <w:t>Annamalai, T., &amp; Bhagat, M. (2020).</w:t>
      </w:r>
      <w:r w:rsidRPr="001E5FF8">
        <w:rPr>
          <w:i/>
          <w:iCs/>
          <w:color w:val="1F497D"/>
          <w:sz w:val="20"/>
          <w:szCs w:val="20"/>
        </w:rPr>
        <w:t xml:space="preserve"> </w:t>
      </w:r>
      <w:r w:rsidRPr="001E5FF8">
        <w:rPr>
          <w:rStyle w:val="Emphasis"/>
          <w:rFonts w:eastAsiaTheme="majorEastAsia"/>
          <w:i w:val="0"/>
          <w:iCs w:val="0"/>
          <w:color w:val="1F497D"/>
          <w:sz w:val="20"/>
          <w:szCs w:val="20"/>
        </w:rPr>
        <w:t>Barriers to microinsurance penetration in India: An empirical perspective.</w:t>
      </w:r>
      <w:r w:rsidRPr="001E5FF8">
        <w:rPr>
          <w:i/>
          <w:iCs/>
          <w:color w:val="1F497D"/>
          <w:sz w:val="20"/>
          <w:szCs w:val="20"/>
        </w:rPr>
        <w:t xml:space="preserve"> </w:t>
      </w:r>
      <w:r w:rsidRPr="001E5FF8">
        <w:rPr>
          <w:rStyle w:val="Emphasis"/>
          <w:rFonts w:eastAsiaTheme="majorEastAsia"/>
          <w:i w:val="0"/>
          <w:iCs w:val="0"/>
          <w:color w:val="1F497D"/>
          <w:sz w:val="20"/>
          <w:szCs w:val="20"/>
        </w:rPr>
        <w:t xml:space="preserve">International Journal of Social Economics, </w:t>
      </w:r>
      <w:r w:rsidRPr="001E5FF8">
        <w:rPr>
          <w:rStyle w:val="Emphasis"/>
          <w:rFonts w:eastAsiaTheme="majorEastAsia"/>
          <w:color w:val="1F497D"/>
          <w:sz w:val="20"/>
          <w:szCs w:val="20"/>
        </w:rPr>
        <w:t>47</w:t>
      </w:r>
      <w:r w:rsidRPr="001E5FF8">
        <w:rPr>
          <w:color w:val="1F497D"/>
          <w:sz w:val="20"/>
          <w:szCs w:val="20"/>
        </w:rPr>
        <w:t>(2), 185–202.</w:t>
      </w:r>
      <w:r w:rsidRPr="001E5FF8">
        <w:rPr>
          <w:i/>
          <w:iCs/>
          <w:color w:val="1F497D"/>
          <w:sz w:val="20"/>
          <w:szCs w:val="20"/>
        </w:rPr>
        <w:t xml:space="preserve"> </w:t>
      </w:r>
      <w:hyperlink r:id="rId15" w:tgtFrame="_new" w:history="1">
        <w:r w:rsidRPr="001E5FF8">
          <w:rPr>
            <w:rStyle w:val="Hyperlink"/>
            <w:rFonts w:eastAsiaTheme="majorEastAsia"/>
            <w:color w:val="1F497D"/>
            <w:sz w:val="20"/>
            <w:szCs w:val="20"/>
          </w:rPr>
          <w:t>https://doi.org/10.1108/IJSE-06-2019-0397</w:t>
        </w:r>
      </w:hyperlink>
    </w:p>
    <w:p w14:paraId="55539671" w14:textId="77777777" w:rsidR="00A53672" w:rsidRPr="001E5FF8" w:rsidRDefault="00A53672" w:rsidP="001E5FF8">
      <w:pPr>
        <w:pStyle w:val="NormalWeb"/>
        <w:numPr>
          <w:ilvl w:val="0"/>
          <w:numId w:val="2"/>
        </w:numPr>
        <w:spacing w:before="0" w:beforeAutospacing="0" w:after="0" w:afterAutospacing="0"/>
        <w:ind w:left="284" w:hanging="284"/>
        <w:jc w:val="both"/>
        <w:rPr>
          <w:i/>
          <w:iCs/>
          <w:color w:val="1F497D"/>
          <w:sz w:val="20"/>
          <w:szCs w:val="20"/>
        </w:rPr>
      </w:pPr>
      <w:r w:rsidRPr="001E5FF8">
        <w:rPr>
          <w:color w:val="1F497D"/>
          <w:sz w:val="20"/>
          <w:szCs w:val="20"/>
          <w:lang w:val="sv-SE"/>
        </w:rPr>
        <w:t>Bhanot, D., Bapat, V., &amp; Bera, S. (2012).</w:t>
      </w:r>
      <w:r w:rsidRPr="001E5FF8">
        <w:rPr>
          <w:i/>
          <w:iCs/>
          <w:color w:val="1F497D"/>
          <w:sz w:val="20"/>
          <w:szCs w:val="20"/>
          <w:lang w:val="sv-SE"/>
        </w:rPr>
        <w:t xml:space="preserve"> </w:t>
      </w:r>
      <w:r w:rsidRPr="001E5FF8">
        <w:rPr>
          <w:rStyle w:val="Emphasis"/>
          <w:rFonts w:eastAsiaTheme="majorEastAsia"/>
          <w:i w:val="0"/>
          <w:iCs w:val="0"/>
          <w:color w:val="1F497D"/>
          <w:sz w:val="20"/>
          <w:szCs w:val="20"/>
        </w:rPr>
        <w:t>Exploring financial inclusion trends in North-East India.</w:t>
      </w:r>
      <w:r w:rsidRPr="001E5FF8">
        <w:rPr>
          <w:i/>
          <w:iCs/>
          <w:color w:val="1F497D"/>
          <w:sz w:val="20"/>
          <w:szCs w:val="20"/>
        </w:rPr>
        <w:t xml:space="preserve"> </w:t>
      </w:r>
      <w:r w:rsidRPr="001E5FF8">
        <w:rPr>
          <w:rStyle w:val="Emphasis"/>
          <w:rFonts w:eastAsiaTheme="majorEastAsia"/>
          <w:i w:val="0"/>
          <w:iCs w:val="0"/>
          <w:color w:val="1F497D"/>
          <w:sz w:val="20"/>
          <w:szCs w:val="20"/>
        </w:rPr>
        <w:t>International Journal of Bank Marketing, 30</w:t>
      </w:r>
      <w:r w:rsidRPr="001E5FF8">
        <w:rPr>
          <w:i/>
          <w:iCs/>
          <w:color w:val="1F497D"/>
          <w:sz w:val="20"/>
          <w:szCs w:val="20"/>
        </w:rPr>
        <w:t xml:space="preserve">(6), 465–484. </w:t>
      </w:r>
      <w:hyperlink r:id="rId16" w:tgtFrame="_new" w:history="1">
        <w:r w:rsidRPr="001E5FF8">
          <w:rPr>
            <w:rStyle w:val="Hyperlink"/>
            <w:rFonts w:eastAsiaTheme="majorEastAsia"/>
            <w:color w:val="1F497D"/>
            <w:sz w:val="20"/>
            <w:szCs w:val="20"/>
          </w:rPr>
          <w:t>https://doi.org/10.1108/02652321211262221</w:t>
        </w:r>
      </w:hyperlink>
    </w:p>
    <w:p w14:paraId="02BF6072" w14:textId="7FA9C577" w:rsidR="00A53672" w:rsidRPr="001E5FF8" w:rsidRDefault="00A53672" w:rsidP="001E5FF8">
      <w:pPr>
        <w:pStyle w:val="NormalWeb"/>
        <w:numPr>
          <w:ilvl w:val="0"/>
          <w:numId w:val="2"/>
        </w:numPr>
        <w:spacing w:before="0" w:beforeAutospacing="0" w:after="0" w:afterAutospacing="0"/>
        <w:ind w:left="284" w:hanging="284"/>
        <w:jc w:val="both"/>
        <w:rPr>
          <w:i/>
          <w:iCs/>
          <w:color w:val="1F497D"/>
          <w:sz w:val="20"/>
          <w:szCs w:val="20"/>
        </w:rPr>
      </w:pPr>
      <w:r w:rsidRPr="001E5FF8">
        <w:rPr>
          <w:color w:val="1F497D"/>
          <w:sz w:val="20"/>
          <w:szCs w:val="20"/>
        </w:rPr>
        <w:t>Churchill, C., &amp; Matul, M. (2012).</w:t>
      </w:r>
      <w:r w:rsidRPr="001E5FF8">
        <w:rPr>
          <w:i/>
          <w:iCs/>
          <w:color w:val="1F497D"/>
          <w:sz w:val="20"/>
          <w:szCs w:val="20"/>
        </w:rPr>
        <w:t xml:space="preserve"> </w:t>
      </w:r>
      <w:r w:rsidRPr="001E5FF8">
        <w:rPr>
          <w:rStyle w:val="Emphasis"/>
          <w:rFonts w:eastAsiaTheme="majorEastAsia"/>
          <w:i w:val="0"/>
          <w:iCs w:val="0"/>
          <w:color w:val="1F497D"/>
          <w:sz w:val="20"/>
          <w:szCs w:val="20"/>
        </w:rPr>
        <w:t>Protecting the poor: A microinsurance compendium</w:t>
      </w:r>
      <w:r w:rsidRPr="001E5FF8">
        <w:rPr>
          <w:i/>
          <w:iCs/>
          <w:color w:val="1F497D"/>
          <w:sz w:val="20"/>
          <w:szCs w:val="20"/>
        </w:rPr>
        <w:t xml:space="preserve"> (Vol. 2).</w:t>
      </w:r>
      <w:r w:rsidRPr="001E5FF8">
        <w:rPr>
          <w:color w:val="1F497D"/>
          <w:sz w:val="20"/>
          <w:szCs w:val="20"/>
        </w:rPr>
        <w:t xml:space="preserve"> International Labour Organisation</w:t>
      </w:r>
      <w:r w:rsidRPr="001E5FF8">
        <w:rPr>
          <w:i/>
          <w:iCs/>
          <w:color w:val="1F497D"/>
          <w:sz w:val="20"/>
          <w:szCs w:val="20"/>
        </w:rPr>
        <w:t>.</w:t>
      </w:r>
    </w:p>
    <w:p w14:paraId="7140969B" w14:textId="77777777" w:rsidR="00A53672" w:rsidRPr="001E5FF8" w:rsidRDefault="00A53672" w:rsidP="001E5FF8">
      <w:pPr>
        <w:pStyle w:val="NormalWeb"/>
        <w:numPr>
          <w:ilvl w:val="0"/>
          <w:numId w:val="2"/>
        </w:numPr>
        <w:spacing w:before="0" w:beforeAutospacing="0" w:after="0" w:afterAutospacing="0"/>
        <w:ind w:left="284" w:hanging="284"/>
        <w:jc w:val="both"/>
        <w:rPr>
          <w:color w:val="1F497D"/>
          <w:sz w:val="20"/>
          <w:szCs w:val="20"/>
        </w:rPr>
      </w:pPr>
      <w:r w:rsidRPr="001E5FF8">
        <w:rPr>
          <w:color w:val="1F497D"/>
          <w:sz w:val="20"/>
          <w:szCs w:val="20"/>
        </w:rPr>
        <w:t xml:space="preserve">Morduch, J. (2006). </w:t>
      </w:r>
      <w:r w:rsidRPr="001E5FF8">
        <w:rPr>
          <w:rStyle w:val="Emphasis"/>
          <w:rFonts w:eastAsiaTheme="majorEastAsia"/>
          <w:i w:val="0"/>
          <w:iCs w:val="0"/>
          <w:color w:val="1F497D"/>
          <w:sz w:val="20"/>
          <w:szCs w:val="20"/>
        </w:rPr>
        <w:t>Microinsurance: The next revolution?</w:t>
      </w:r>
      <w:r w:rsidRPr="001E5FF8">
        <w:rPr>
          <w:color w:val="1F497D"/>
          <w:sz w:val="20"/>
          <w:szCs w:val="20"/>
        </w:rPr>
        <w:t xml:space="preserve"> In A. V. Banerjee, R. </w:t>
      </w:r>
      <w:proofErr w:type="spellStart"/>
      <w:r w:rsidRPr="001E5FF8">
        <w:rPr>
          <w:color w:val="1F497D"/>
          <w:sz w:val="20"/>
          <w:szCs w:val="20"/>
        </w:rPr>
        <w:t>Benabou</w:t>
      </w:r>
      <w:proofErr w:type="spellEnd"/>
      <w:r w:rsidRPr="001E5FF8">
        <w:rPr>
          <w:color w:val="1F497D"/>
          <w:sz w:val="20"/>
          <w:szCs w:val="20"/>
        </w:rPr>
        <w:t xml:space="preserve">, &amp; D. </w:t>
      </w:r>
      <w:proofErr w:type="spellStart"/>
      <w:r w:rsidRPr="001E5FF8">
        <w:rPr>
          <w:color w:val="1F497D"/>
          <w:sz w:val="20"/>
          <w:szCs w:val="20"/>
        </w:rPr>
        <w:t>Mookherjee</w:t>
      </w:r>
      <w:proofErr w:type="spellEnd"/>
      <w:r w:rsidRPr="001E5FF8">
        <w:rPr>
          <w:color w:val="1F497D"/>
          <w:sz w:val="20"/>
          <w:szCs w:val="20"/>
        </w:rPr>
        <w:t xml:space="preserve"> (Eds.), </w:t>
      </w:r>
      <w:r w:rsidRPr="001E5FF8">
        <w:rPr>
          <w:rStyle w:val="Emphasis"/>
          <w:rFonts w:eastAsiaTheme="majorEastAsia"/>
          <w:i w:val="0"/>
          <w:iCs w:val="0"/>
          <w:color w:val="1F497D"/>
          <w:sz w:val="20"/>
          <w:szCs w:val="20"/>
        </w:rPr>
        <w:t>Understanding Poverty</w:t>
      </w:r>
      <w:r w:rsidRPr="001E5FF8">
        <w:rPr>
          <w:color w:val="1F497D"/>
          <w:sz w:val="20"/>
          <w:szCs w:val="20"/>
        </w:rPr>
        <w:t xml:space="preserve"> (pp. 337–356). Oxford University Press.</w:t>
      </w:r>
    </w:p>
    <w:p w14:paraId="55DEAA32" w14:textId="77777777" w:rsidR="00A53672" w:rsidRPr="001E5FF8" w:rsidRDefault="00A53672" w:rsidP="001E5FF8">
      <w:pPr>
        <w:pStyle w:val="NormalWeb"/>
        <w:numPr>
          <w:ilvl w:val="0"/>
          <w:numId w:val="2"/>
        </w:numPr>
        <w:spacing w:before="0" w:beforeAutospacing="0" w:after="0" w:afterAutospacing="0"/>
        <w:ind w:left="284" w:hanging="284"/>
        <w:jc w:val="both"/>
        <w:rPr>
          <w:i/>
          <w:iCs/>
          <w:color w:val="1F497D"/>
          <w:sz w:val="20"/>
          <w:szCs w:val="20"/>
        </w:rPr>
      </w:pPr>
      <w:r w:rsidRPr="001E5FF8">
        <w:rPr>
          <w:color w:val="1F497D"/>
          <w:sz w:val="20"/>
          <w:szCs w:val="20"/>
        </w:rPr>
        <w:t>Singh, R., &amp; Kaur, J. (2023).</w:t>
      </w:r>
      <w:r w:rsidRPr="001E5FF8">
        <w:rPr>
          <w:i/>
          <w:iCs/>
          <w:color w:val="1F497D"/>
          <w:sz w:val="20"/>
          <w:szCs w:val="20"/>
        </w:rPr>
        <w:t xml:space="preserve"> </w:t>
      </w:r>
      <w:r w:rsidRPr="001E5FF8">
        <w:rPr>
          <w:rStyle w:val="Emphasis"/>
          <w:rFonts w:eastAsiaTheme="majorEastAsia"/>
          <w:i w:val="0"/>
          <w:iCs w:val="0"/>
          <w:color w:val="1F497D"/>
          <w:sz w:val="20"/>
          <w:szCs w:val="20"/>
        </w:rPr>
        <w:t>Awareness and satisfaction of beneficiaries under Indian social security initiatives.</w:t>
      </w:r>
      <w:r w:rsidRPr="001E5FF8">
        <w:rPr>
          <w:i/>
          <w:iCs/>
          <w:color w:val="1F497D"/>
          <w:sz w:val="20"/>
          <w:szCs w:val="20"/>
        </w:rPr>
        <w:t xml:space="preserve"> </w:t>
      </w:r>
      <w:r w:rsidRPr="001E5FF8">
        <w:rPr>
          <w:rStyle w:val="Emphasis"/>
          <w:rFonts w:eastAsiaTheme="majorEastAsia"/>
          <w:i w:val="0"/>
          <w:iCs w:val="0"/>
          <w:color w:val="1F497D"/>
          <w:sz w:val="20"/>
          <w:szCs w:val="20"/>
        </w:rPr>
        <w:t>Asian Journal of Economics and Empirical Research, 10</w:t>
      </w:r>
      <w:r w:rsidRPr="001E5FF8">
        <w:rPr>
          <w:i/>
          <w:iCs/>
          <w:color w:val="1F497D"/>
          <w:sz w:val="20"/>
          <w:szCs w:val="20"/>
        </w:rPr>
        <w:t>(1), 20–31.</w:t>
      </w:r>
    </w:p>
    <w:p w14:paraId="5A34161B" w14:textId="77777777" w:rsidR="00A53672" w:rsidRPr="001E5FF8" w:rsidRDefault="00A53672" w:rsidP="001E5FF8">
      <w:pPr>
        <w:pStyle w:val="NormalWeb"/>
        <w:numPr>
          <w:ilvl w:val="0"/>
          <w:numId w:val="2"/>
        </w:numPr>
        <w:spacing w:before="0" w:beforeAutospacing="0" w:after="0" w:afterAutospacing="0"/>
        <w:ind w:left="284" w:hanging="284"/>
        <w:jc w:val="both"/>
        <w:rPr>
          <w:color w:val="1F497D"/>
          <w:sz w:val="20"/>
          <w:szCs w:val="20"/>
        </w:rPr>
      </w:pPr>
      <w:r w:rsidRPr="001E5FF8">
        <w:rPr>
          <w:color w:val="1F497D"/>
          <w:sz w:val="20"/>
          <w:szCs w:val="20"/>
        </w:rPr>
        <w:t>Sinha, S., &amp; Kanbur, R. (2022).</w:t>
      </w:r>
      <w:r w:rsidRPr="001E5FF8">
        <w:rPr>
          <w:i/>
          <w:iCs/>
          <w:color w:val="1F497D"/>
          <w:sz w:val="20"/>
          <w:szCs w:val="20"/>
        </w:rPr>
        <w:t xml:space="preserve"> </w:t>
      </w:r>
      <w:r w:rsidRPr="001E5FF8">
        <w:rPr>
          <w:rStyle w:val="Emphasis"/>
          <w:rFonts w:eastAsiaTheme="majorEastAsia"/>
          <w:i w:val="0"/>
          <w:iCs w:val="0"/>
          <w:color w:val="1F497D"/>
          <w:sz w:val="20"/>
          <w:szCs w:val="20"/>
        </w:rPr>
        <w:t>Social protection and informal sector workers in India: Challenges and policy directions.</w:t>
      </w:r>
      <w:r w:rsidRPr="001E5FF8">
        <w:rPr>
          <w:i/>
          <w:iCs/>
          <w:color w:val="1F497D"/>
          <w:sz w:val="20"/>
          <w:szCs w:val="20"/>
        </w:rPr>
        <w:t xml:space="preserve"> </w:t>
      </w:r>
      <w:r w:rsidRPr="001E5FF8">
        <w:rPr>
          <w:rStyle w:val="Emphasis"/>
          <w:rFonts w:eastAsiaTheme="majorEastAsia"/>
          <w:i w:val="0"/>
          <w:iCs w:val="0"/>
          <w:color w:val="1F497D"/>
          <w:sz w:val="20"/>
          <w:szCs w:val="20"/>
        </w:rPr>
        <w:t>Development Policy Review, 40</w:t>
      </w:r>
      <w:r w:rsidRPr="001E5FF8">
        <w:rPr>
          <w:i/>
          <w:iCs/>
          <w:color w:val="1F497D"/>
          <w:sz w:val="20"/>
          <w:szCs w:val="20"/>
        </w:rPr>
        <w:t xml:space="preserve">(1), e12567. </w:t>
      </w:r>
      <w:hyperlink r:id="rId17" w:tgtFrame="_new" w:history="1">
        <w:r w:rsidRPr="001E5FF8">
          <w:rPr>
            <w:rStyle w:val="Hyperlink"/>
            <w:rFonts w:eastAsiaTheme="majorEastAsia"/>
            <w:color w:val="1F497D"/>
            <w:sz w:val="20"/>
            <w:szCs w:val="20"/>
          </w:rPr>
          <w:t>https://doi.org/10.1111/dpr.12567</w:t>
        </w:r>
      </w:hyperlink>
    </w:p>
    <w:p w14:paraId="1B40F0C3" w14:textId="77777777" w:rsidR="00A53672" w:rsidRPr="001E5FF8" w:rsidRDefault="00A53672" w:rsidP="001E5FF8">
      <w:pPr>
        <w:pStyle w:val="NormalWeb"/>
        <w:numPr>
          <w:ilvl w:val="0"/>
          <w:numId w:val="2"/>
        </w:numPr>
        <w:spacing w:before="0" w:beforeAutospacing="0" w:after="0" w:afterAutospacing="0"/>
        <w:ind w:left="284" w:hanging="284"/>
        <w:jc w:val="both"/>
        <w:rPr>
          <w:i/>
          <w:iCs/>
          <w:color w:val="1F497D"/>
          <w:sz w:val="20"/>
          <w:szCs w:val="20"/>
        </w:rPr>
      </w:pPr>
      <w:r w:rsidRPr="001E5FF8">
        <w:rPr>
          <w:color w:val="1F497D"/>
          <w:sz w:val="20"/>
          <w:szCs w:val="20"/>
        </w:rPr>
        <w:t>Subrahmanyam, G., &amp; Thakur, R. (2021).</w:t>
      </w:r>
      <w:r w:rsidRPr="001E5FF8">
        <w:rPr>
          <w:i/>
          <w:iCs/>
          <w:color w:val="1F497D"/>
          <w:sz w:val="20"/>
          <w:szCs w:val="20"/>
        </w:rPr>
        <w:t xml:space="preserve"> </w:t>
      </w:r>
      <w:r w:rsidRPr="001E5FF8">
        <w:rPr>
          <w:rStyle w:val="Emphasis"/>
          <w:rFonts w:eastAsiaTheme="majorEastAsia"/>
          <w:i w:val="0"/>
          <w:iCs w:val="0"/>
          <w:color w:val="1F497D"/>
          <w:sz w:val="20"/>
          <w:szCs w:val="20"/>
        </w:rPr>
        <w:t>Customer perception towards Pradhan Mantri insurance schemes: Evidence from Gujarat.</w:t>
      </w:r>
      <w:r w:rsidRPr="001E5FF8">
        <w:rPr>
          <w:i/>
          <w:iCs/>
          <w:color w:val="1F497D"/>
          <w:sz w:val="20"/>
          <w:szCs w:val="20"/>
        </w:rPr>
        <w:t xml:space="preserve"> </w:t>
      </w:r>
      <w:r w:rsidRPr="001E5FF8">
        <w:rPr>
          <w:rStyle w:val="Emphasis"/>
          <w:rFonts w:eastAsiaTheme="majorEastAsia"/>
          <w:i w:val="0"/>
          <w:iCs w:val="0"/>
          <w:color w:val="1F497D"/>
          <w:sz w:val="20"/>
          <w:szCs w:val="20"/>
        </w:rPr>
        <w:t>Journal of Insurance and Financial Management, 4</w:t>
      </w:r>
      <w:r w:rsidRPr="001E5FF8">
        <w:rPr>
          <w:i/>
          <w:iCs/>
          <w:color w:val="1F497D"/>
          <w:sz w:val="20"/>
          <w:szCs w:val="20"/>
        </w:rPr>
        <w:t>(2), 65–83.</w:t>
      </w:r>
    </w:p>
    <w:p w14:paraId="25613259" w14:textId="1F71D266" w:rsidR="00A53672" w:rsidRPr="001E5FF8" w:rsidRDefault="00A53672" w:rsidP="001E5FF8">
      <w:pPr>
        <w:pStyle w:val="NormalWeb"/>
        <w:numPr>
          <w:ilvl w:val="0"/>
          <w:numId w:val="2"/>
        </w:numPr>
        <w:spacing w:before="0" w:beforeAutospacing="0" w:after="0" w:afterAutospacing="0"/>
        <w:ind w:left="284" w:hanging="284"/>
        <w:jc w:val="both"/>
        <w:rPr>
          <w:color w:val="1F497D"/>
          <w:sz w:val="20"/>
          <w:szCs w:val="20"/>
        </w:rPr>
      </w:pPr>
      <w:r w:rsidRPr="001E5FF8">
        <w:rPr>
          <w:color w:val="1F497D"/>
          <w:sz w:val="20"/>
          <w:szCs w:val="20"/>
        </w:rPr>
        <w:t>Swamy, V. (2014</w:t>
      </w:r>
      <w:r w:rsidRPr="001E5FF8">
        <w:rPr>
          <w:i/>
          <w:iCs/>
          <w:color w:val="1F497D"/>
          <w:sz w:val="20"/>
          <w:szCs w:val="20"/>
        </w:rPr>
        <w:t xml:space="preserve">). </w:t>
      </w:r>
      <w:r w:rsidRPr="001E5FF8">
        <w:rPr>
          <w:rStyle w:val="Emphasis"/>
          <w:rFonts w:eastAsiaTheme="majorEastAsia"/>
          <w:i w:val="0"/>
          <w:iCs w:val="0"/>
          <w:color w:val="1F497D"/>
          <w:sz w:val="20"/>
          <w:szCs w:val="20"/>
        </w:rPr>
        <w:t>Financial inclusion, gender perspectives, and the economic well-being of poor households.</w:t>
      </w:r>
      <w:r w:rsidRPr="001E5FF8">
        <w:rPr>
          <w:i/>
          <w:iCs/>
          <w:color w:val="1F497D"/>
          <w:sz w:val="20"/>
          <w:szCs w:val="20"/>
        </w:rPr>
        <w:t xml:space="preserve"> </w:t>
      </w:r>
      <w:r w:rsidRPr="001E5FF8">
        <w:rPr>
          <w:rStyle w:val="Emphasis"/>
          <w:rFonts w:eastAsiaTheme="majorEastAsia"/>
          <w:i w:val="0"/>
          <w:iCs w:val="0"/>
          <w:color w:val="1F497D"/>
          <w:sz w:val="20"/>
          <w:szCs w:val="20"/>
        </w:rPr>
        <w:t>World Development, 56</w:t>
      </w:r>
      <w:r w:rsidRPr="001E5FF8">
        <w:rPr>
          <w:i/>
          <w:iCs/>
          <w:color w:val="1F497D"/>
          <w:sz w:val="20"/>
          <w:szCs w:val="20"/>
        </w:rPr>
        <w:t xml:space="preserve">, 1–15. </w:t>
      </w:r>
      <w:hyperlink r:id="rId18" w:tgtFrame="_new" w:history="1">
        <w:r w:rsidRPr="001E5FF8">
          <w:rPr>
            <w:rStyle w:val="Hyperlink"/>
            <w:rFonts w:eastAsiaTheme="majorEastAsia"/>
            <w:color w:val="1F497D"/>
            <w:sz w:val="20"/>
            <w:szCs w:val="20"/>
          </w:rPr>
          <w:t>https://doi.org/10.1016/j.worlddev.2013.10.019</w:t>
        </w:r>
      </w:hyperlink>
    </w:p>
    <w:p w14:paraId="1CD53B14" w14:textId="77777777" w:rsidR="00A53672" w:rsidRPr="001E5FF8" w:rsidRDefault="00A53672" w:rsidP="001E5FF8">
      <w:pPr>
        <w:pStyle w:val="NormalWeb"/>
        <w:numPr>
          <w:ilvl w:val="0"/>
          <w:numId w:val="2"/>
        </w:numPr>
        <w:spacing w:before="0" w:beforeAutospacing="0" w:after="0" w:afterAutospacing="0"/>
        <w:ind w:left="284" w:hanging="284"/>
        <w:jc w:val="both"/>
        <w:rPr>
          <w:i/>
          <w:iCs/>
          <w:color w:val="1F497D"/>
          <w:sz w:val="20"/>
          <w:szCs w:val="20"/>
        </w:rPr>
      </w:pPr>
      <w:proofErr w:type="spellStart"/>
      <w:r w:rsidRPr="001E5FF8">
        <w:rPr>
          <w:color w:val="1F497D"/>
          <w:sz w:val="20"/>
          <w:szCs w:val="20"/>
        </w:rPr>
        <w:t>Thampy</w:t>
      </w:r>
      <w:proofErr w:type="spellEnd"/>
      <w:r w:rsidRPr="001E5FF8">
        <w:rPr>
          <w:color w:val="1F497D"/>
          <w:sz w:val="20"/>
          <w:szCs w:val="20"/>
        </w:rPr>
        <w:t>, A., &amp; Rao, S. (2019)</w:t>
      </w:r>
      <w:r w:rsidRPr="001E5FF8">
        <w:rPr>
          <w:i/>
          <w:iCs/>
          <w:color w:val="1F497D"/>
          <w:sz w:val="20"/>
          <w:szCs w:val="20"/>
        </w:rPr>
        <w:t xml:space="preserve">. </w:t>
      </w:r>
      <w:r w:rsidRPr="001E5FF8">
        <w:rPr>
          <w:rStyle w:val="Emphasis"/>
          <w:rFonts w:eastAsiaTheme="majorEastAsia"/>
          <w:i w:val="0"/>
          <w:iCs w:val="0"/>
          <w:color w:val="1F497D"/>
          <w:sz w:val="20"/>
          <w:szCs w:val="20"/>
        </w:rPr>
        <w:t>Barriers encountered by field agents in promoting microinsurance: Evidence from India.</w:t>
      </w:r>
      <w:r w:rsidRPr="001E5FF8">
        <w:rPr>
          <w:i/>
          <w:iCs/>
          <w:color w:val="1F497D"/>
          <w:sz w:val="20"/>
          <w:szCs w:val="20"/>
        </w:rPr>
        <w:t xml:space="preserve"> </w:t>
      </w:r>
      <w:r w:rsidRPr="001E5FF8">
        <w:rPr>
          <w:rStyle w:val="Emphasis"/>
          <w:rFonts w:eastAsiaTheme="majorEastAsia"/>
          <w:i w:val="0"/>
          <w:iCs w:val="0"/>
          <w:color w:val="1F497D"/>
          <w:sz w:val="20"/>
          <w:szCs w:val="20"/>
        </w:rPr>
        <w:t>Journal of Development Policy and Practice, 4</w:t>
      </w:r>
      <w:r w:rsidRPr="001E5FF8">
        <w:rPr>
          <w:i/>
          <w:iCs/>
          <w:color w:val="1F497D"/>
          <w:sz w:val="20"/>
          <w:szCs w:val="20"/>
        </w:rPr>
        <w:t>(1), 72–89</w:t>
      </w:r>
      <w:r w:rsidRPr="001E5FF8">
        <w:rPr>
          <w:color w:val="1F497D"/>
          <w:sz w:val="20"/>
          <w:szCs w:val="20"/>
        </w:rPr>
        <w:t xml:space="preserve">. </w:t>
      </w:r>
      <w:hyperlink r:id="rId19" w:tgtFrame="_new" w:history="1">
        <w:r w:rsidRPr="001E5FF8">
          <w:rPr>
            <w:rStyle w:val="Hyperlink"/>
            <w:rFonts w:eastAsiaTheme="majorEastAsia"/>
            <w:color w:val="1F497D"/>
            <w:sz w:val="20"/>
            <w:szCs w:val="20"/>
          </w:rPr>
          <w:t>https://doi.org/10.1177/2455133319830262</w:t>
        </w:r>
      </w:hyperlink>
    </w:p>
    <w:p w14:paraId="31C981F9" w14:textId="23BA11AD" w:rsidR="005F756C" w:rsidRPr="00757E5A" w:rsidRDefault="00A53672" w:rsidP="001E5FF8">
      <w:pPr>
        <w:pStyle w:val="NormalWeb"/>
        <w:numPr>
          <w:ilvl w:val="0"/>
          <w:numId w:val="2"/>
        </w:numPr>
        <w:spacing w:before="0" w:beforeAutospacing="0" w:after="0" w:afterAutospacing="0"/>
        <w:ind w:left="284" w:hanging="284"/>
        <w:jc w:val="both"/>
        <w:rPr>
          <w:i/>
          <w:iCs/>
          <w:color w:val="1F497D"/>
          <w:sz w:val="20"/>
          <w:szCs w:val="20"/>
        </w:rPr>
      </w:pPr>
      <w:r w:rsidRPr="001E5FF8">
        <w:rPr>
          <w:color w:val="1F497D"/>
          <w:sz w:val="20"/>
          <w:szCs w:val="20"/>
        </w:rPr>
        <w:lastRenderedPageBreak/>
        <w:t>World Bank. (2020).</w:t>
      </w:r>
      <w:r w:rsidRPr="001E5FF8">
        <w:rPr>
          <w:i/>
          <w:iCs/>
          <w:color w:val="1F497D"/>
          <w:sz w:val="20"/>
          <w:szCs w:val="20"/>
        </w:rPr>
        <w:t xml:space="preserve"> </w:t>
      </w:r>
      <w:r w:rsidRPr="001E5FF8">
        <w:rPr>
          <w:rStyle w:val="Emphasis"/>
          <w:rFonts w:eastAsiaTheme="majorEastAsia"/>
          <w:i w:val="0"/>
          <w:iCs w:val="0"/>
          <w:color w:val="1F497D"/>
          <w:sz w:val="20"/>
          <w:szCs w:val="20"/>
        </w:rPr>
        <w:t>Global financial inclusion and consumer protection survey 2020: Trends in microinsurance and social protection.</w:t>
      </w:r>
      <w:r w:rsidRPr="001E5FF8">
        <w:rPr>
          <w:i/>
          <w:iCs/>
          <w:color w:val="1F497D"/>
          <w:sz w:val="20"/>
          <w:szCs w:val="20"/>
        </w:rPr>
        <w:t xml:space="preserve"> </w:t>
      </w:r>
      <w:r w:rsidRPr="001E5FF8">
        <w:rPr>
          <w:color w:val="1F497D"/>
          <w:sz w:val="20"/>
          <w:szCs w:val="20"/>
        </w:rPr>
        <w:t>World Bank Publications</w:t>
      </w:r>
      <w:r w:rsidRPr="001E5FF8">
        <w:rPr>
          <w:i/>
          <w:iCs/>
          <w:color w:val="1F497D"/>
          <w:sz w:val="20"/>
          <w:szCs w:val="20"/>
        </w:rPr>
        <w:t>.</w:t>
      </w:r>
    </w:p>
    <w:sectPr w:rsidR="005F756C" w:rsidRPr="00757E5A" w:rsidSect="001E5FF8">
      <w:type w:val="continuous"/>
      <w:pgSz w:w="11906" w:h="16838" w:code="9"/>
      <w:pgMar w:top="1021" w:right="1066" w:bottom="964" w:left="1168" w:header="851" w:footer="77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63D5" w14:textId="77777777" w:rsidR="00B057FF" w:rsidRDefault="00B057FF" w:rsidP="001E5FF8">
      <w:pPr>
        <w:spacing w:after="0" w:line="240" w:lineRule="auto"/>
      </w:pPr>
      <w:r>
        <w:separator/>
      </w:r>
    </w:p>
  </w:endnote>
  <w:endnote w:type="continuationSeparator" w:id="0">
    <w:p w14:paraId="64CABBF4" w14:textId="77777777" w:rsidR="00B057FF" w:rsidRDefault="00B057FF" w:rsidP="001E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ACA6" w14:textId="77777777" w:rsidR="001E5FF8" w:rsidRPr="00842F79" w:rsidRDefault="001E5FF8" w:rsidP="00DA7668">
    <w:pPr>
      <w:pBdr>
        <w:top w:val="single" w:sz="12" w:space="1" w:color="C00000"/>
      </w:pBdr>
      <w:tabs>
        <w:tab w:val="right" w:pos="9751"/>
      </w:tabs>
      <w:spacing w:after="0" w:line="240" w:lineRule="auto"/>
      <w:ind w:right="-6"/>
      <w:rPr>
        <w:rFonts w:ascii="Times New Roman" w:hAnsi="Times New Roman" w:cs="Times New Roman"/>
        <w:color w:val="1F497D"/>
        <w:sz w:val="20"/>
        <w:szCs w:val="20"/>
      </w:rPr>
    </w:pPr>
    <w:r w:rsidRPr="00842F79">
      <w:rPr>
        <w:rFonts w:ascii="Times New Roman" w:hAnsi="Times New Roman" w:cs="Times New Roman"/>
        <w:b/>
        <w:i/>
        <w:color w:val="1F497D"/>
        <w:sz w:val="20"/>
        <w:szCs w:val="20"/>
      </w:rPr>
      <w:t>Advances in Consumer Research</w:t>
    </w:r>
    <w:r w:rsidRPr="00842F79">
      <w:rPr>
        <w:rFonts w:ascii="Times New Roman" w:hAnsi="Times New Roman" w:cs="Times New Roman"/>
        <w:color w:val="1F497D"/>
        <w:sz w:val="20"/>
        <w:szCs w:val="20"/>
      </w:rPr>
      <w:t xml:space="preserve"> </w:t>
    </w:r>
    <w:r w:rsidRPr="00842F79">
      <w:rPr>
        <w:rFonts w:ascii="Times New Roman" w:hAnsi="Times New Roman" w:cs="Times New Roman"/>
        <w:color w:val="1F497D"/>
        <w:sz w:val="20"/>
        <w:szCs w:val="20"/>
      </w:rPr>
      <w:tab/>
      <w:t xml:space="preserve">                          </w:t>
    </w:r>
    <w:sdt>
      <w:sdtPr>
        <w:rPr>
          <w:rFonts w:ascii="Times New Roman" w:hAnsi="Times New Roman" w:cs="Times New Roman"/>
          <w:color w:val="1F497D"/>
          <w:sz w:val="20"/>
          <w:szCs w:val="20"/>
        </w:rPr>
        <w:id w:val="302740031"/>
        <w:docPartObj>
          <w:docPartGallery w:val="Page Numbers (Bottom of Page)"/>
          <w:docPartUnique/>
        </w:docPartObj>
      </w:sdtPr>
      <w:sdtEndPr>
        <w:rPr>
          <w:noProof/>
        </w:rPr>
      </w:sdtEndPr>
      <w:sdtContent>
        <w:r w:rsidRPr="00842F79">
          <w:rPr>
            <w:rFonts w:ascii="Times New Roman" w:hAnsi="Times New Roman" w:cs="Times New Roman"/>
            <w:color w:val="1F497D"/>
            <w:sz w:val="20"/>
            <w:szCs w:val="20"/>
          </w:rPr>
          <w:fldChar w:fldCharType="begin"/>
        </w:r>
        <w:r w:rsidRPr="00842F79">
          <w:rPr>
            <w:rFonts w:ascii="Times New Roman" w:hAnsi="Times New Roman" w:cs="Times New Roman"/>
            <w:color w:val="1F497D"/>
            <w:sz w:val="20"/>
            <w:szCs w:val="20"/>
          </w:rPr>
          <w:instrText xml:space="preserve"> PAGE   \* MERGEFORMAT </w:instrText>
        </w:r>
        <w:r w:rsidRPr="00842F79">
          <w:rPr>
            <w:rFonts w:ascii="Times New Roman" w:hAnsi="Times New Roman" w:cs="Times New Roman"/>
            <w:color w:val="1F497D"/>
            <w:sz w:val="20"/>
            <w:szCs w:val="20"/>
          </w:rPr>
          <w:fldChar w:fldCharType="separate"/>
        </w:r>
        <w:r>
          <w:rPr>
            <w:rFonts w:ascii="Times New Roman" w:hAnsi="Times New Roman" w:cs="Times New Roman"/>
            <w:noProof/>
            <w:color w:val="1F497D"/>
            <w:sz w:val="20"/>
            <w:szCs w:val="20"/>
          </w:rPr>
          <w:t>3</w:t>
        </w:r>
        <w:r w:rsidRPr="00842F79">
          <w:rPr>
            <w:rFonts w:ascii="Times New Roman" w:hAnsi="Times New Roman" w:cs="Times New Roman"/>
            <w:noProof/>
            <w:color w:val="1F497D"/>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50D6" w14:textId="77777777" w:rsidR="001E5FF8" w:rsidRPr="00842F79" w:rsidRDefault="001E5FF8" w:rsidP="00DA7668">
    <w:pPr>
      <w:pBdr>
        <w:top w:val="single" w:sz="12" w:space="1" w:color="C00000"/>
      </w:pBdr>
      <w:tabs>
        <w:tab w:val="right" w:pos="9751"/>
      </w:tabs>
      <w:spacing w:after="0" w:line="240" w:lineRule="auto"/>
      <w:ind w:right="-6"/>
      <w:rPr>
        <w:rFonts w:ascii="Times New Roman" w:hAnsi="Times New Roman" w:cs="Times New Roman"/>
        <w:color w:val="1F497D"/>
        <w:sz w:val="20"/>
        <w:szCs w:val="20"/>
      </w:rPr>
    </w:pPr>
    <w:r w:rsidRPr="00842F79">
      <w:rPr>
        <w:rFonts w:ascii="Times New Roman" w:hAnsi="Times New Roman" w:cs="Times New Roman"/>
        <w:b/>
        <w:i/>
        <w:color w:val="1F497D"/>
        <w:sz w:val="20"/>
        <w:szCs w:val="20"/>
      </w:rPr>
      <w:t>Advances in Consumer Research</w:t>
    </w:r>
    <w:r w:rsidRPr="00842F79">
      <w:rPr>
        <w:rFonts w:ascii="Times New Roman" w:hAnsi="Times New Roman" w:cs="Times New Roman"/>
        <w:color w:val="1F497D"/>
        <w:sz w:val="20"/>
        <w:szCs w:val="20"/>
      </w:rPr>
      <w:t xml:space="preserve"> </w:t>
    </w:r>
    <w:r w:rsidRPr="00842F79">
      <w:rPr>
        <w:rFonts w:ascii="Times New Roman" w:hAnsi="Times New Roman" w:cs="Times New Roman"/>
        <w:color w:val="1F497D"/>
        <w:sz w:val="20"/>
        <w:szCs w:val="20"/>
      </w:rPr>
      <w:tab/>
      <w:t xml:space="preserve">                          </w:t>
    </w:r>
    <w:sdt>
      <w:sdtPr>
        <w:rPr>
          <w:rFonts w:ascii="Times New Roman" w:hAnsi="Times New Roman" w:cs="Times New Roman"/>
          <w:color w:val="1F497D"/>
          <w:sz w:val="20"/>
          <w:szCs w:val="20"/>
        </w:rPr>
        <w:id w:val="-1096934414"/>
        <w:docPartObj>
          <w:docPartGallery w:val="Page Numbers (Bottom of Page)"/>
          <w:docPartUnique/>
        </w:docPartObj>
      </w:sdtPr>
      <w:sdtEndPr>
        <w:rPr>
          <w:noProof/>
        </w:rPr>
      </w:sdtEndPr>
      <w:sdtContent>
        <w:r w:rsidRPr="00842F79">
          <w:rPr>
            <w:rFonts w:ascii="Times New Roman" w:hAnsi="Times New Roman" w:cs="Times New Roman"/>
            <w:color w:val="1F497D"/>
            <w:sz w:val="20"/>
            <w:szCs w:val="20"/>
          </w:rPr>
          <w:fldChar w:fldCharType="begin"/>
        </w:r>
        <w:r w:rsidRPr="00842F79">
          <w:rPr>
            <w:rFonts w:ascii="Times New Roman" w:hAnsi="Times New Roman" w:cs="Times New Roman"/>
            <w:color w:val="1F497D"/>
            <w:sz w:val="20"/>
            <w:szCs w:val="20"/>
          </w:rPr>
          <w:instrText xml:space="preserve"> PAGE   \* MERGEFORMAT </w:instrText>
        </w:r>
        <w:r w:rsidRPr="00842F79">
          <w:rPr>
            <w:rFonts w:ascii="Times New Roman" w:hAnsi="Times New Roman" w:cs="Times New Roman"/>
            <w:color w:val="1F497D"/>
            <w:sz w:val="20"/>
            <w:szCs w:val="20"/>
          </w:rPr>
          <w:fldChar w:fldCharType="separate"/>
        </w:r>
        <w:r>
          <w:rPr>
            <w:rFonts w:ascii="Times New Roman" w:hAnsi="Times New Roman" w:cs="Times New Roman"/>
            <w:noProof/>
            <w:color w:val="1F497D"/>
            <w:sz w:val="20"/>
            <w:szCs w:val="20"/>
          </w:rPr>
          <w:t>1</w:t>
        </w:r>
        <w:r w:rsidRPr="00842F79">
          <w:rPr>
            <w:rFonts w:ascii="Times New Roman" w:hAnsi="Times New Roman" w:cs="Times New Roman"/>
            <w:noProof/>
            <w:color w:val="1F497D"/>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267C" w14:textId="77777777" w:rsidR="00B057FF" w:rsidRDefault="00B057FF" w:rsidP="001E5FF8">
      <w:pPr>
        <w:spacing w:after="0" w:line="240" w:lineRule="auto"/>
      </w:pPr>
      <w:r>
        <w:separator/>
      </w:r>
    </w:p>
  </w:footnote>
  <w:footnote w:type="continuationSeparator" w:id="0">
    <w:p w14:paraId="3DE783F7" w14:textId="77777777" w:rsidR="00B057FF" w:rsidRDefault="00B057FF" w:rsidP="001E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21D1" w14:textId="28CA257C" w:rsidR="001E5FF8" w:rsidRPr="00AE2FA4" w:rsidRDefault="001E5FF8" w:rsidP="00DA7668">
    <w:pPr>
      <w:spacing w:after="0" w:line="240" w:lineRule="auto"/>
      <w:jc w:val="both"/>
      <w:outlineLvl w:val="0"/>
      <w:rPr>
        <w:rFonts w:ascii="Times New Roman" w:hAnsi="Times New Roman" w:cs="Times New Roman"/>
        <w:b/>
        <w:bCs/>
        <w:iCs/>
        <w:color w:val="1F497D"/>
        <w:sz w:val="18"/>
        <w:szCs w:val="18"/>
      </w:rPr>
    </w:pPr>
    <w:r w:rsidRPr="00AE2FA4">
      <w:rPr>
        <w:rFonts w:ascii="Times New Roman" w:hAnsi="Times New Roman" w:cs="Times New Roman"/>
        <w:bCs/>
        <w:iCs/>
        <w:color w:val="1F497D"/>
        <w:sz w:val="18"/>
        <w:szCs w:val="18"/>
      </w:rPr>
      <w:t xml:space="preserve">How to cite:  </w:t>
    </w:r>
    <w:r w:rsidRPr="00AE2FA4">
      <w:rPr>
        <w:rFonts w:ascii="Times New Roman" w:hAnsi="Times New Roman" w:cs="Times New Roman"/>
        <w:iCs/>
        <w:color w:val="1F497D"/>
        <w:sz w:val="18"/>
        <w:szCs w:val="18"/>
      </w:rPr>
      <w:t>Anjali Patel</w:t>
    </w:r>
    <w:r w:rsidRPr="00AE2FA4">
      <w:rPr>
        <w:rFonts w:ascii="Times New Roman" w:hAnsi="Times New Roman" w:cs="Times New Roman"/>
        <w:iCs/>
        <w:color w:val="1F497D"/>
        <w:sz w:val="18"/>
        <w:szCs w:val="18"/>
        <w:shd w:val="clear" w:color="auto" w:fill="FFFFFF"/>
      </w:rPr>
      <w:t xml:space="preserve">, </w:t>
    </w:r>
    <w:r w:rsidRPr="00AE2FA4">
      <w:rPr>
        <w:rFonts w:ascii="Times New Roman" w:hAnsi="Times New Roman" w:cs="Times New Roman"/>
        <w:iCs/>
        <w:color w:val="1F497D"/>
        <w:sz w:val="18"/>
        <w:szCs w:val="18"/>
      </w:rPr>
      <w:t>“Investigating the Factors Influencing Intermediaries’ Performance: An Empirical Study Using Factor</w:t>
    </w:r>
    <w:r w:rsidR="004F36FA" w:rsidRPr="00AE2FA4">
      <w:rPr>
        <w:rFonts w:ascii="Times New Roman" w:hAnsi="Times New Roman" w:cs="Times New Roman"/>
        <w:iCs/>
        <w:color w:val="1F497D"/>
        <w:sz w:val="18"/>
        <w:szCs w:val="18"/>
      </w:rPr>
      <w:t xml:space="preserve"> </w:t>
    </w:r>
    <w:r w:rsidR="004F36FA" w:rsidRPr="00AE2FA4">
      <w:rPr>
        <w:rFonts w:ascii="Times New Roman" w:hAnsi="Times New Roman" w:cs="Times New Roman"/>
        <w:iCs/>
        <w:color w:val="1F4E79" w:themeColor="accent5" w:themeShade="80"/>
        <w:sz w:val="18"/>
        <w:szCs w:val="18"/>
      </w:rPr>
      <w:t>Analysis</w:t>
    </w:r>
    <w:r w:rsidRPr="00AE2FA4">
      <w:rPr>
        <w:rFonts w:ascii="Times New Roman" w:hAnsi="Times New Roman" w:cs="Times New Roman"/>
        <w:iCs/>
        <w:color w:val="1F497D"/>
        <w:sz w:val="18"/>
        <w:szCs w:val="18"/>
      </w:rPr>
      <w:t xml:space="preserve"> and Structural Equation Modelling”</w:t>
    </w:r>
    <w:r w:rsidRPr="00AE2FA4">
      <w:rPr>
        <w:rFonts w:ascii="Times New Roman" w:eastAsia="Times New Roman" w:hAnsi="Times New Roman" w:cs="Times New Roman"/>
        <w:iCs/>
        <w:color w:val="1F497D"/>
        <w:kern w:val="36"/>
        <w:sz w:val="18"/>
        <w:szCs w:val="18"/>
        <w14:ligatures w14:val="none"/>
      </w:rPr>
      <w:t>,</w:t>
    </w:r>
    <w:r w:rsidRPr="00AE2FA4">
      <w:rPr>
        <w:rFonts w:ascii="Times New Roman" w:eastAsia="Times New Roman" w:hAnsi="Times New Roman" w:cs="Times New Roman"/>
        <w:bCs/>
        <w:iCs/>
        <w:color w:val="1F497D"/>
        <w:kern w:val="36"/>
        <w:sz w:val="16"/>
        <w:szCs w:val="16"/>
        <w14:ligatures w14:val="none"/>
      </w:rPr>
      <w:t xml:space="preserve"> </w:t>
    </w:r>
    <w:r w:rsidRPr="00AE2FA4">
      <w:rPr>
        <w:rFonts w:ascii="Times New Roman" w:hAnsi="Times New Roman" w:cs="Times New Roman"/>
        <w:bCs/>
        <w:iCs/>
        <w:color w:val="1F497D"/>
        <w:sz w:val="18"/>
        <w:szCs w:val="18"/>
      </w:rPr>
      <w:t xml:space="preserve">Advances in Consumer Research, vol. 2, no. 5, 2025, pp. </w:t>
    </w:r>
    <w:r w:rsidR="00AE2FA4" w:rsidRPr="00AE2FA4">
      <w:rPr>
        <w:rFonts w:ascii="Times New Roman" w:hAnsi="Times New Roman" w:cs="Times New Roman"/>
        <w:bCs/>
        <w:iCs/>
        <w:color w:val="1F497D"/>
        <w:sz w:val="18"/>
        <w:szCs w:val="18"/>
      </w:rPr>
      <w:t>1244</w:t>
    </w:r>
    <w:r w:rsidRPr="00AE2FA4">
      <w:rPr>
        <w:rFonts w:ascii="Times New Roman" w:hAnsi="Times New Roman" w:cs="Times New Roman"/>
        <w:bCs/>
        <w:iCs/>
        <w:color w:val="1F497D"/>
        <w:sz w:val="18"/>
        <w:szCs w:val="18"/>
      </w:rPr>
      <w:t>-</w:t>
    </w:r>
    <w:r w:rsidR="00AE2FA4" w:rsidRPr="00AE2FA4">
      <w:rPr>
        <w:rFonts w:ascii="Times New Roman" w:hAnsi="Times New Roman" w:cs="Times New Roman"/>
        <w:bCs/>
        <w:iCs/>
        <w:color w:val="1F497D"/>
        <w:sz w:val="18"/>
        <w:szCs w:val="18"/>
      </w:rPr>
      <w:t>1248</w:t>
    </w:r>
    <w:r w:rsidRPr="00AE2FA4">
      <w:rPr>
        <w:rFonts w:ascii="Times New Roman" w:hAnsi="Times New Roman" w:cs="Times New Roman"/>
        <w:bCs/>
        <w:iCs/>
        <w:color w:val="1F497D"/>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7752" w14:textId="77777777" w:rsidR="001E5FF8" w:rsidRPr="00842F79" w:rsidRDefault="001E5FF8" w:rsidP="00DA7668">
    <w:pPr>
      <w:spacing w:after="0" w:line="240" w:lineRule="auto"/>
      <w:rPr>
        <w:rFonts w:ascii="Times New Roman" w:hAnsi="Times New Roman" w:cs="Times New Roman"/>
        <w:color w:val="1F497D"/>
      </w:rPr>
    </w:pPr>
    <w:r w:rsidRPr="00842F79">
      <w:rPr>
        <w:rFonts w:ascii="Times New Roman" w:hAnsi="Times New Roman" w:cs="Times New Roman"/>
        <w:b/>
        <w:i/>
        <w:color w:val="1F497D"/>
        <w:sz w:val="32"/>
      </w:rPr>
      <w:t>Advances in Consumer Research</w:t>
    </w:r>
    <w:r w:rsidRPr="00842F79">
      <w:rPr>
        <w:rFonts w:ascii="Times New Roman" w:hAnsi="Times New Roman" w:cs="Times New Roman"/>
        <w:b/>
        <w:color w:val="1F497D"/>
        <w:sz w:val="32"/>
      </w:rPr>
      <w:t xml:space="preserve"> </w:t>
    </w:r>
  </w:p>
  <w:p w14:paraId="39714DD8" w14:textId="77777777" w:rsidR="001E5FF8" w:rsidRPr="00842F79" w:rsidRDefault="00000000" w:rsidP="00DA7668">
    <w:pPr>
      <w:tabs>
        <w:tab w:val="center" w:pos="9614"/>
      </w:tabs>
      <w:spacing w:after="0" w:line="240" w:lineRule="auto"/>
      <w:rPr>
        <w:rFonts w:ascii="Times New Roman" w:hAnsi="Times New Roman" w:cs="Times New Roman"/>
        <w:color w:val="1F497D"/>
      </w:rPr>
    </w:pPr>
    <w:hyperlink r:id="rId1">
      <w:r w:rsidR="001E5FF8" w:rsidRPr="00842F79">
        <w:rPr>
          <w:rFonts w:ascii="Times New Roman" w:eastAsia="Calibri" w:hAnsi="Times New Roman" w:cs="Times New Roman"/>
          <w:color w:val="1F497D"/>
          <w:u w:val="single" w:color="1F497D"/>
        </w:rPr>
        <w:t>https://acr</w:t>
      </w:r>
    </w:hyperlink>
    <w:hyperlink r:id="rId2">
      <w:r w:rsidR="001E5FF8" w:rsidRPr="00842F79">
        <w:rPr>
          <w:rFonts w:ascii="Times New Roman" w:eastAsia="Calibri" w:hAnsi="Times New Roman" w:cs="Times New Roman"/>
          <w:color w:val="1F497D"/>
          <w:u w:val="single" w:color="1F497D"/>
        </w:rPr>
        <w:t>-</w:t>
      </w:r>
    </w:hyperlink>
    <w:hyperlink r:id="rId3">
      <w:r w:rsidR="001E5FF8" w:rsidRPr="00842F79">
        <w:rPr>
          <w:rFonts w:ascii="Times New Roman" w:eastAsia="Calibri" w:hAnsi="Times New Roman" w:cs="Times New Roman"/>
          <w:color w:val="1F497D"/>
          <w:u w:val="single" w:color="1F497D"/>
        </w:rPr>
        <w:t>journal.com/</w:t>
      </w:r>
    </w:hyperlink>
    <w:hyperlink r:id="rId4">
      <w:r w:rsidR="001E5FF8" w:rsidRPr="00842F79">
        <w:rPr>
          <w:rFonts w:ascii="Times New Roman" w:eastAsia="Calibri" w:hAnsi="Times New Roman" w:cs="Times New Roman"/>
          <w:color w:val="1F497D"/>
        </w:rPr>
        <w:t xml:space="preserve"> </w:t>
      </w:r>
    </w:hyperlink>
    <w:r w:rsidR="001E5FF8" w:rsidRPr="00842F79">
      <w:rPr>
        <w:rFonts w:ascii="Times New Roman" w:eastAsia="Calibri" w:hAnsi="Times New Roman" w:cs="Times New Roman"/>
        <w:color w:val="1F497D"/>
      </w:rPr>
      <w:tab/>
    </w:r>
    <w:r w:rsidR="001E5FF8" w:rsidRPr="00842F79">
      <w:rPr>
        <w:rFonts w:ascii="Times New Roman" w:hAnsi="Times New Roman" w:cs="Times New Roman"/>
        <w:color w:val="1F497D"/>
      </w:rPr>
      <w:t xml:space="preserve"> </w:t>
    </w:r>
  </w:p>
  <w:p w14:paraId="4AC43521" w14:textId="77777777" w:rsidR="001E5FF8" w:rsidRPr="00842F79" w:rsidRDefault="001E5FF8" w:rsidP="00DA7668">
    <w:pPr>
      <w:tabs>
        <w:tab w:val="right" w:pos="9751"/>
      </w:tabs>
      <w:spacing w:after="0" w:line="240" w:lineRule="auto"/>
      <w:rPr>
        <w:rFonts w:ascii="Times New Roman" w:hAnsi="Times New Roman" w:cs="Times New Roman"/>
        <w:color w:val="1F497D"/>
        <w:sz w:val="20"/>
        <w:szCs w:val="20"/>
      </w:rPr>
    </w:pPr>
    <w:r w:rsidRPr="00842F79">
      <w:rPr>
        <w:rFonts w:ascii="Times New Roman" w:hAnsi="Times New Roman" w:cs="Times New Roman"/>
        <w:color w:val="1F497D"/>
        <w:vertAlign w:val="superscript"/>
      </w:rPr>
      <w:t xml:space="preserve"> </w:t>
    </w:r>
    <w:r w:rsidRPr="00842F79">
      <w:rPr>
        <w:rFonts w:ascii="Times New Roman" w:hAnsi="Times New Roman" w:cs="Times New Roman"/>
        <w:color w:val="1F497D"/>
      </w:rPr>
      <w:t xml:space="preserve"> </w:t>
    </w:r>
    <w:r w:rsidRPr="00842F79">
      <w:rPr>
        <w:rFonts w:ascii="Times New Roman" w:hAnsi="Times New Roman" w:cs="Times New Roman"/>
        <w:color w:val="1F497D"/>
      </w:rPr>
      <w:tab/>
    </w:r>
    <w:r>
      <w:rPr>
        <w:rFonts w:ascii="Times New Roman" w:hAnsi="Times New Roman" w:cs="Times New Roman"/>
        <w:color w:val="1F497D"/>
        <w:sz w:val="20"/>
        <w:szCs w:val="20"/>
      </w:rPr>
      <w:t>Volume-2 | Issue-5</w:t>
    </w:r>
    <w:r w:rsidRPr="00842F79">
      <w:rPr>
        <w:rFonts w:ascii="Times New Roman" w:hAnsi="Times New Roman" w:cs="Times New Roman"/>
        <w:color w:val="1F497D"/>
        <w:sz w:val="20"/>
        <w:szCs w:val="20"/>
      </w:rPr>
      <w:t xml:space="preserve"> | </w:t>
    </w:r>
    <w:r>
      <w:rPr>
        <w:rFonts w:ascii="Times New Roman" w:hAnsi="Times New Roman" w:cs="Times New Roman"/>
        <w:color w:val="1F497D"/>
        <w:sz w:val="20"/>
        <w:szCs w:val="20"/>
      </w:rPr>
      <w:t>November</w:t>
    </w:r>
    <w:r w:rsidRPr="00842F79">
      <w:rPr>
        <w:rFonts w:ascii="Times New Roman" w:hAnsi="Times New Roman" w:cs="Times New Roman"/>
        <w:color w:val="1F497D"/>
        <w:sz w:val="20"/>
        <w:szCs w:val="20"/>
      </w:rPr>
      <w:t xml:space="preserve"> 2025</w:t>
    </w:r>
  </w:p>
  <w:tbl>
    <w:tblPr>
      <w:tblStyle w:val="TableGrid"/>
      <w:tblW w:w="9879" w:type="dxa"/>
      <w:tblInd w:w="-29" w:type="dxa"/>
      <w:tblCellMar>
        <w:top w:w="89" w:type="dxa"/>
        <w:right w:w="2" w:type="dxa"/>
      </w:tblCellMar>
      <w:tblLook w:val="04A0" w:firstRow="1" w:lastRow="0" w:firstColumn="1" w:lastColumn="0" w:noHBand="0" w:noVBand="1"/>
    </w:tblPr>
    <w:tblGrid>
      <w:gridCol w:w="2252"/>
      <w:gridCol w:w="7627"/>
    </w:tblGrid>
    <w:tr w:rsidR="001E5FF8" w:rsidRPr="00842F79" w14:paraId="12D8E47D" w14:textId="77777777" w:rsidTr="00A718D1">
      <w:trPr>
        <w:trHeight w:val="173"/>
      </w:trPr>
      <w:tc>
        <w:tcPr>
          <w:tcW w:w="2252" w:type="dxa"/>
          <w:tcBorders>
            <w:top w:val="single" w:sz="17" w:space="0" w:color="A42510"/>
            <w:left w:val="nil"/>
            <w:bottom w:val="nil"/>
            <w:right w:val="nil"/>
          </w:tcBorders>
          <w:shd w:val="clear" w:color="auto" w:fill="001746"/>
        </w:tcPr>
        <w:p w14:paraId="64370EC6" w14:textId="77777777" w:rsidR="001E5FF8" w:rsidRPr="00842F79" w:rsidRDefault="001E5FF8" w:rsidP="00DA7668">
          <w:pPr>
            <w:rPr>
              <w:rFonts w:ascii="Times New Roman" w:hAnsi="Times New Roman" w:cs="Times New Roman"/>
            </w:rPr>
          </w:pPr>
          <w:r w:rsidRPr="00842F79">
            <w:rPr>
              <w:rFonts w:ascii="Times New Roman" w:eastAsia="Palatino Linotype" w:hAnsi="Times New Roman" w:cs="Times New Roman"/>
              <w:b/>
              <w:i/>
              <w:color w:val="FFFFFF"/>
              <w:sz w:val="18"/>
            </w:rPr>
            <w:t>Original Researcher Article</w:t>
          </w:r>
        </w:p>
      </w:tc>
      <w:tc>
        <w:tcPr>
          <w:tcW w:w="7627" w:type="dxa"/>
          <w:tcBorders>
            <w:top w:val="single" w:sz="17" w:space="0" w:color="A42510"/>
            <w:left w:val="nil"/>
            <w:bottom w:val="nil"/>
            <w:right w:val="nil"/>
          </w:tcBorders>
          <w:shd w:val="clear" w:color="auto" w:fill="001746"/>
        </w:tcPr>
        <w:p w14:paraId="2F3EAF54" w14:textId="77777777" w:rsidR="001E5FF8" w:rsidRPr="00842F79" w:rsidRDefault="001E5FF8" w:rsidP="00DA7668">
          <w:pPr>
            <w:rPr>
              <w:rFonts w:ascii="Times New Roman" w:hAnsi="Times New Roman" w:cs="Times New Roman"/>
            </w:rPr>
          </w:pPr>
          <w:r w:rsidRPr="00842F79">
            <w:rPr>
              <w:rFonts w:ascii="Times New Roman" w:eastAsia="Palatino Linotype" w:hAnsi="Times New Roman" w:cs="Times New Roman"/>
              <w:b/>
              <w:i/>
              <w:color w:val="FFFFFF"/>
              <w:sz w:val="18"/>
            </w:rPr>
            <w:t xml:space="preserve">                                                                                                                          </w:t>
          </w:r>
        </w:p>
      </w:tc>
    </w:tr>
  </w:tbl>
  <w:p w14:paraId="25C24104" w14:textId="77777777" w:rsidR="001E5FF8" w:rsidRPr="00842F79" w:rsidRDefault="001E5FF8" w:rsidP="00DA7668">
    <w:pPr>
      <w:tabs>
        <w:tab w:val="right" w:pos="9751"/>
      </w:tabs>
      <w:spacing w:after="0" w:line="240" w:lineRule="auto"/>
      <w:rPr>
        <w:rFonts w:ascii="Times New Roman" w:hAnsi="Times New Roman" w:cs="Times New Roman"/>
        <w:color w:val="1F497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68A1"/>
    <w:multiLevelType w:val="hybridMultilevel"/>
    <w:tmpl w:val="62C6E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810C5A"/>
    <w:multiLevelType w:val="multilevel"/>
    <w:tmpl w:val="2AAA3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791546">
    <w:abstractNumId w:val="1"/>
  </w:num>
  <w:num w:numId="2" w16cid:durableId="11212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MjIxNLEwMjcwNzJS0lEKTi0uzszPAykwqwUAOGiyZiwAAAA="/>
  </w:docVars>
  <w:rsids>
    <w:rsidRoot w:val="000E08D3"/>
    <w:rsid w:val="00000529"/>
    <w:rsid w:val="00034BFE"/>
    <w:rsid w:val="00040427"/>
    <w:rsid w:val="0004222E"/>
    <w:rsid w:val="000619B1"/>
    <w:rsid w:val="000B02E9"/>
    <w:rsid w:val="000C78B3"/>
    <w:rsid w:val="000E08D3"/>
    <w:rsid w:val="000F47EA"/>
    <w:rsid w:val="000F4879"/>
    <w:rsid w:val="001078A6"/>
    <w:rsid w:val="00114CC6"/>
    <w:rsid w:val="00117C17"/>
    <w:rsid w:val="00157829"/>
    <w:rsid w:val="00163207"/>
    <w:rsid w:val="00174F32"/>
    <w:rsid w:val="001762AF"/>
    <w:rsid w:val="0018130E"/>
    <w:rsid w:val="001975F1"/>
    <w:rsid w:val="001E09D9"/>
    <w:rsid w:val="001E2903"/>
    <w:rsid w:val="001E5FF8"/>
    <w:rsid w:val="00207B29"/>
    <w:rsid w:val="00214C82"/>
    <w:rsid w:val="00220E11"/>
    <w:rsid w:val="002279C8"/>
    <w:rsid w:val="00243C1C"/>
    <w:rsid w:val="00252A5B"/>
    <w:rsid w:val="00260018"/>
    <w:rsid w:val="00276710"/>
    <w:rsid w:val="002E6952"/>
    <w:rsid w:val="002F416F"/>
    <w:rsid w:val="003026BB"/>
    <w:rsid w:val="00350D22"/>
    <w:rsid w:val="003844FC"/>
    <w:rsid w:val="00394F3C"/>
    <w:rsid w:val="0039506E"/>
    <w:rsid w:val="0041378C"/>
    <w:rsid w:val="004331C8"/>
    <w:rsid w:val="00453CC6"/>
    <w:rsid w:val="0047426E"/>
    <w:rsid w:val="00494A1D"/>
    <w:rsid w:val="004F36FA"/>
    <w:rsid w:val="005A28CF"/>
    <w:rsid w:val="005E40D7"/>
    <w:rsid w:val="005F0713"/>
    <w:rsid w:val="005F4DA6"/>
    <w:rsid w:val="005F756C"/>
    <w:rsid w:val="00615149"/>
    <w:rsid w:val="006169F5"/>
    <w:rsid w:val="0062241C"/>
    <w:rsid w:val="00626A1B"/>
    <w:rsid w:val="0064645A"/>
    <w:rsid w:val="006542BD"/>
    <w:rsid w:val="006F6CCE"/>
    <w:rsid w:val="00717083"/>
    <w:rsid w:val="00746259"/>
    <w:rsid w:val="00757E5A"/>
    <w:rsid w:val="007754FE"/>
    <w:rsid w:val="007972F8"/>
    <w:rsid w:val="007B0C14"/>
    <w:rsid w:val="007E0193"/>
    <w:rsid w:val="00870477"/>
    <w:rsid w:val="0088331D"/>
    <w:rsid w:val="008876B3"/>
    <w:rsid w:val="008E747F"/>
    <w:rsid w:val="00920DB3"/>
    <w:rsid w:val="00922E13"/>
    <w:rsid w:val="009355F4"/>
    <w:rsid w:val="00947152"/>
    <w:rsid w:val="00950463"/>
    <w:rsid w:val="009579A6"/>
    <w:rsid w:val="00961CF0"/>
    <w:rsid w:val="0097038B"/>
    <w:rsid w:val="00971952"/>
    <w:rsid w:val="00972245"/>
    <w:rsid w:val="00972A88"/>
    <w:rsid w:val="009D6A00"/>
    <w:rsid w:val="009F667F"/>
    <w:rsid w:val="00A0008F"/>
    <w:rsid w:val="00A06C41"/>
    <w:rsid w:val="00A53672"/>
    <w:rsid w:val="00A6440A"/>
    <w:rsid w:val="00A70A85"/>
    <w:rsid w:val="00A8478E"/>
    <w:rsid w:val="00AC7977"/>
    <w:rsid w:val="00AE2FA4"/>
    <w:rsid w:val="00B02F3A"/>
    <w:rsid w:val="00B057FF"/>
    <w:rsid w:val="00B15F19"/>
    <w:rsid w:val="00B710AC"/>
    <w:rsid w:val="00BA5C3B"/>
    <w:rsid w:val="00BA75FE"/>
    <w:rsid w:val="00BA79B1"/>
    <w:rsid w:val="00BB592E"/>
    <w:rsid w:val="00BC56E3"/>
    <w:rsid w:val="00BE66EF"/>
    <w:rsid w:val="00C13F8D"/>
    <w:rsid w:val="00C32AAC"/>
    <w:rsid w:val="00C40741"/>
    <w:rsid w:val="00C42D22"/>
    <w:rsid w:val="00C430F5"/>
    <w:rsid w:val="00C457C5"/>
    <w:rsid w:val="00C6147D"/>
    <w:rsid w:val="00C663CE"/>
    <w:rsid w:val="00C70215"/>
    <w:rsid w:val="00C86FA5"/>
    <w:rsid w:val="00CA64EB"/>
    <w:rsid w:val="00CA7FC6"/>
    <w:rsid w:val="00CC30BE"/>
    <w:rsid w:val="00CE47BE"/>
    <w:rsid w:val="00CE7B70"/>
    <w:rsid w:val="00D06246"/>
    <w:rsid w:val="00D15EEE"/>
    <w:rsid w:val="00D2071F"/>
    <w:rsid w:val="00D27A8C"/>
    <w:rsid w:val="00D31EAC"/>
    <w:rsid w:val="00D33F82"/>
    <w:rsid w:val="00D45013"/>
    <w:rsid w:val="00D55E41"/>
    <w:rsid w:val="00DA3D24"/>
    <w:rsid w:val="00DB3469"/>
    <w:rsid w:val="00DB3C60"/>
    <w:rsid w:val="00DE669A"/>
    <w:rsid w:val="00E07318"/>
    <w:rsid w:val="00E33764"/>
    <w:rsid w:val="00E3511C"/>
    <w:rsid w:val="00E420FC"/>
    <w:rsid w:val="00E47794"/>
    <w:rsid w:val="00E5355A"/>
    <w:rsid w:val="00E6251D"/>
    <w:rsid w:val="00E702A5"/>
    <w:rsid w:val="00EB2388"/>
    <w:rsid w:val="00EB75B9"/>
    <w:rsid w:val="00EE3B3E"/>
    <w:rsid w:val="00EF787E"/>
    <w:rsid w:val="00F24670"/>
    <w:rsid w:val="00F3329E"/>
    <w:rsid w:val="00F40B7D"/>
    <w:rsid w:val="00F40CBE"/>
    <w:rsid w:val="00F525F8"/>
    <w:rsid w:val="00FF566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A1B74"/>
  <w15:chartTrackingRefBased/>
  <w15:docId w15:val="{2B498E73-4ED1-4E4D-8066-AF0AA3AD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0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0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0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0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0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E0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8D3"/>
    <w:rPr>
      <w:rFonts w:eastAsiaTheme="majorEastAsia" w:cstheme="majorBidi"/>
      <w:color w:val="272727" w:themeColor="text1" w:themeTint="D8"/>
    </w:rPr>
  </w:style>
  <w:style w:type="paragraph" w:styleId="Title">
    <w:name w:val="Title"/>
    <w:basedOn w:val="Normal"/>
    <w:next w:val="Normal"/>
    <w:link w:val="TitleChar"/>
    <w:uiPriority w:val="10"/>
    <w:qFormat/>
    <w:rsid w:val="000E0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8D3"/>
    <w:pPr>
      <w:spacing w:before="160"/>
      <w:jc w:val="center"/>
    </w:pPr>
    <w:rPr>
      <w:i/>
      <w:iCs/>
      <w:color w:val="404040" w:themeColor="text1" w:themeTint="BF"/>
    </w:rPr>
  </w:style>
  <w:style w:type="character" w:customStyle="1" w:styleId="QuoteChar">
    <w:name w:val="Quote Char"/>
    <w:basedOn w:val="DefaultParagraphFont"/>
    <w:link w:val="Quote"/>
    <w:uiPriority w:val="29"/>
    <w:rsid w:val="000E08D3"/>
    <w:rPr>
      <w:i/>
      <w:iCs/>
      <w:color w:val="404040" w:themeColor="text1" w:themeTint="BF"/>
    </w:rPr>
  </w:style>
  <w:style w:type="paragraph" w:styleId="ListParagraph">
    <w:name w:val="List Paragraph"/>
    <w:basedOn w:val="Normal"/>
    <w:uiPriority w:val="34"/>
    <w:qFormat/>
    <w:rsid w:val="000E08D3"/>
    <w:pPr>
      <w:ind w:left="720"/>
      <w:contextualSpacing/>
    </w:pPr>
  </w:style>
  <w:style w:type="character" w:styleId="IntenseEmphasis">
    <w:name w:val="Intense Emphasis"/>
    <w:basedOn w:val="DefaultParagraphFont"/>
    <w:uiPriority w:val="21"/>
    <w:qFormat/>
    <w:rsid w:val="000E08D3"/>
    <w:rPr>
      <w:i/>
      <w:iCs/>
      <w:color w:val="2F5496" w:themeColor="accent1" w:themeShade="BF"/>
    </w:rPr>
  </w:style>
  <w:style w:type="paragraph" w:styleId="IntenseQuote">
    <w:name w:val="Intense Quote"/>
    <w:basedOn w:val="Normal"/>
    <w:next w:val="Normal"/>
    <w:link w:val="IntenseQuoteChar"/>
    <w:uiPriority w:val="30"/>
    <w:qFormat/>
    <w:rsid w:val="000E0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8D3"/>
    <w:rPr>
      <w:i/>
      <w:iCs/>
      <w:color w:val="2F5496" w:themeColor="accent1" w:themeShade="BF"/>
    </w:rPr>
  </w:style>
  <w:style w:type="character" w:styleId="IntenseReference">
    <w:name w:val="Intense Reference"/>
    <w:basedOn w:val="DefaultParagraphFont"/>
    <w:uiPriority w:val="32"/>
    <w:qFormat/>
    <w:rsid w:val="000E08D3"/>
    <w:rPr>
      <w:b/>
      <w:bCs/>
      <w:smallCaps/>
      <w:color w:val="2F5496" w:themeColor="accent1" w:themeShade="BF"/>
      <w:spacing w:val="5"/>
    </w:rPr>
  </w:style>
  <w:style w:type="paragraph" w:styleId="NoSpacing">
    <w:name w:val="No Spacing"/>
    <w:uiPriority w:val="1"/>
    <w:qFormat/>
    <w:rsid w:val="002E6952"/>
    <w:pPr>
      <w:spacing w:after="0" w:line="240" w:lineRule="auto"/>
    </w:pPr>
  </w:style>
  <w:style w:type="paragraph" w:styleId="NormalWeb">
    <w:name w:val="Normal (Web)"/>
    <w:basedOn w:val="Normal"/>
    <w:uiPriority w:val="99"/>
    <w:unhideWhenUsed/>
    <w:rsid w:val="002E6952"/>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2E6952"/>
    <w:rPr>
      <w:i/>
      <w:iCs/>
    </w:rPr>
  </w:style>
  <w:style w:type="character" w:styleId="Strong">
    <w:name w:val="Strong"/>
    <w:basedOn w:val="DefaultParagraphFont"/>
    <w:uiPriority w:val="22"/>
    <w:qFormat/>
    <w:rsid w:val="002E6952"/>
    <w:rPr>
      <w:b/>
      <w:bCs/>
    </w:rPr>
  </w:style>
  <w:style w:type="character" w:styleId="Hyperlink">
    <w:name w:val="Hyperlink"/>
    <w:basedOn w:val="DefaultParagraphFont"/>
    <w:uiPriority w:val="99"/>
    <w:unhideWhenUsed/>
    <w:rsid w:val="00214C82"/>
    <w:rPr>
      <w:color w:val="0563C1" w:themeColor="hyperlink"/>
      <w:u w:val="single"/>
    </w:rPr>
  </w:style>
  <w:style w:type="character" w:styleId="UnresolvedMention">
    <w:name w:val="Unresolved Mention"/>
    <w:basedOn w:val="DefaultParagraphFont"/>
    <w:uiPriority w:val="99"/>
    <w:semiHidden/>
    <w:unhideWhenUsed/>
    <w:rsid w:val="00214C82"/>
    <w:rPr>
      <w:color w:val="605E5C"/>
      <w:shd w:val="clear" w:color="auto" w:fill="E1DFDD"/>
    </w:rPr>
  </w:style>
  <w:style w:type="paragraph" w:customStyle="1" w:styleId="Default">
    <w:name w:val="Default"/>
    <w:rsid w:val="000F47EA"/>
    <w:pPr>
      <w:autoSpaceDE w:val="0"/>
      <w:autoSpaceDN w:val="0"/>
      <w:adjustRightInd w:val="0"/>
      <w:spacing w:after="0" w:line="240" w:lineRule="auto"/>
    </w:pPr>
    <w:rPr>
      <w:rFonts w:ascii="Georgia" w:hAnsi="Georgia" w:cs="Georgia"/>
      <w:color w:val="000000"/>
      <w:kern w:val="0"/>
      <w:sz w:val="24"/>
      <w:szCs w:val="24"/>
    </w:rPr>
  </w:style>
  <w:style w:type="paragraph" w:styleId="Caption">
    <w:name w:val="caption"/>
    <w:basedOn w:val="Normal"/>
    <w:next w:val="Normal"/>
    <w:uiPriority w:val="35"/>
    <w:unhideWhenUsed/>
    <w:qFormat/>
    <w:rsid w:val="008876B3"/>
    <w:pPr>
      <w:spacing w:after="200" w:line="240" w:lineRule="auto"/>
    </w:pPr>
    <w:rPr>
      <w:i/>
      <w:iCs/>
      <w:color w:val="44546A" w:themeColor="text2"/>
      <w:sz w:val="18"/>
      <w:szCs w:val="18"/>
    </w:rPr>
  </w:style>
  <w:style w:type="paragraph" w:styleId="Revision">
    <w:name w:val="Revision"/>
    <w:hidden/>
    <w:uiPriority w:val="99"/>
    <w:semiHidden/>
    <w:rsid w:val="00BA79B1"/>
    <w:pPr>
      <w:spacing w:after="0" w:line="240" w:lineRule="auto"/>
    </w:pPr>
  </w:style>
  <w:style w:type="paragraph" w:styleId="Header">
    <w:name w:val="header"/>
    <w:basedOn w:val="Normal"/>
    <w:link w:val="HeaderChar"/>
    <w:uiPriority w:val="99"/>
    <w:unhideWhenUsed/>
    <w:rsid w:val="001E5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FF8"/>
  </w:style>
  <w:style w:type="paragraph" w:styleId="Footer">
    <w:name w:val="footer"/>
    <w:basedOn w:val="Normal"/>
    <w:link w:val="FooterChar"/>
    <w:uiPriority w:val="99"/>
    <w:unhideWhenUsed/>
    <w:rsid w:val="001E5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FF8"/>
  </w:style>
  <w:style w:type="table" w:customStyle="1" w:styleId="TableGrid">
    <w:name w:val="TableGrid"/>
    <w:rsid w:val="001E5FF8"/>
    <w:pPr>
      <w:spacing w:after="0" w:line="240" w:lineRule="auto"/>
    </w:pPr>
    <w:rPr>
      <w:rFonts w:eastAsiaTheme="minorEastAsia"/>
      <w:sz w:val="24"/>
      <w:szCs w:val="24"/>
      <w:lang w:eastAsia="en-IN"/>
    </w:rPr>
    <w:tblPr>
      <w:tblCellMar>
        <w:top w:w="0" w:type="dxa"/>
        <w:left w:w="0" w:type="dxa"/>
        <w:bottom w:w="0" w:type="dxa"/>
        <w:right w:w="0" w:type="dxa"/>
      </w:tblCellMar>
    </w:tblPr>
  </w:style>
  <w:style w:type="table" w:styleId="TableGrid0">
    <w:name w:val="Table Grid"/>
    <w:basedOn w:val="TableNormal"/>
    <w:uiPriority w:val="39"/>
    <w:rsid w:val="001E5F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E5FF8"/>
    <w:rPr>
      <w:rFonts w:ascii="Cambria" w:hAnsi="Cambria" w:hint="default"/>
      <w:b/>
      <w:bCs/>
      <w:i w:val="0"/>
      <w:iCs w:val="0"/>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doi.org/10.1016/j.worlddev.2013.10.0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11/dpr.12567" TargetMode="External"/><Relationship Id="rId2" Type="http://schemas.openxmlformats.org/officeDocument/2006/relationships/numbering" Target="numbering.xml"/><Relationship Id="rId16" Type="http://schemas.openxmlformats.org/officeDocument/2006/relationships/hyperlink" Target="https://doi.org/10.1108/026523212112622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08/IJSE-06-2019-0397" TargetMode="External"/><Relationship Id="rId10" Type="http://schemas.openxmlformats.org/officeDocument/2006/relationships/footer" Target="footer1.xml"/><Relationship Id="rId19" Type="http://schemas.openxmlformats.org/officeDocument/2006/relationships/hyperlink" Target="https://doi.org/10.1177/24551333198302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j.jfi.2015.12.003"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acr-journal.com/" TargetMode="External"/><Relationship Id="rId2" Type="http://schemas.openxmlformats.org/officeDocument/2006/relationships/hyperlink" Target="https://acr-journal.com/" TargetMode="External"/><Relationship Id="rId1" Type="http://schemas.openxmlformats.org/officeDocument/2006/relationships/hyperlink" Target="https://acr-journal.com/" TargetMode="External"/><Relationship Id="rId4" Type="http://schemas.openxmlformats.org/officeDocument/2006/relationships/hyperlink" Target="https://acr-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FDCC-19CB-4B36-9BEC-DDAD0A64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Patel</dc:creator>
  <cp:keywords/>
  <dc:description/>
  <cp:lastModifiedBy>Aniket Rajbhar</cp:lastModifiedBy>
  <cp:revision>5</cp:revision>
  <dcterms:created xsi:type="dcterms:W3CDTF">2025-11-12T02:28:00Z</dcterms:created>
  <dcterms:modified xsi:type="dcterms:W3CDTF">2025-11-12T02:30:00Z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5b14eb90-d67e-49aa-b7c8-53fc46bf61ef</vt:lpwstr>
  </property>
</Properties>
</file>