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1794E" w14:textId="5A1AC00B" w:rsidR="00245175" w:rsidRPr="00245175" w:rsidRDefault="0041215D" w:rsidP="00245175">
      <w:pPr>
        <w:tabs>
          <w:tab w:val="left" w:pos="284"/>
        </w:tabs>
        <w:spacing w:after="0" w:line="240" w:lineRule="auto"/>
        <w:ind w:right="33"/>
        <w:contextualSpacing/>
        <w:jc w:val="both"/>
        <w:rPr>
          <w:rFonts w:ascii="Times New Roman" w:hAnsi="Times New Roman" w:cs="Times New Roman"/>
          <w:b/>
          <w:bCs/>
          <w:color w:val="1F497D"/>
          <w:sz w:val="30"/>
          <w:szCs w:val="30"/>
        </w:rPr>
      </w:pPr>
      <w:r w:rsidRPr="0041215D">
        <w:rPr>
          <w:rFonts w:ascii="Times New Roman" w:hAnsi="Times New Roman" w:cs="Times New Roman"/>
          <w:b/>
          <w:bCs/>
          <w:color w:val="1F497D"/>
          <w:sz w:val="30"/>
          <w:szCs w:val="30"/>
        </w:rPr>
        <w:t>Behavioral Finance and Investor Psychology: Understanding Market Volatility in Crisis Scenarios</w:t>
      </w:r>
    </w:p>
    <w:p w14:paraId="08028402" w14:textId="77777777" w:rsidR="00A608E4" w:rsidRPr="00245175" w:rsidRDefault="00A608E4" w:rsidP="00997116">
      <w:pPr>
        <w:tabs>
          <w:tab w:val="left" w:pos="284"/>
        </w:tabs>
        <w:spacing w:after="0" w:line="240" w:lineRule="auto"/>
        <w:ind w:right="33"/>
        <w:jc w:val="both"/>
        <w:rPr>
          <w:rFonts w:ascii="Times New Roman" w:hAnsi="Times New Roman" w:cs="Times New Roman"/>
          <w:b/>
          <w:bCs/>
          <w:color w:val="1F497D"/>
          <w:sz w:val="20"/>
          <w:szCs w:val="20"/>
        </w:rPr>
      </w:pPr>
    </w:p>
    <w:p w14:paraId="27E9F549" w14:textId="49F80026" w:rsidR="00FD17DE" w:rsidRPr="00E512A3" w:rsidRDefault="0041215D" w:rsidP="00C83917">
      <w:pPr>
        <w:pStyle w:val="Author"/>
        <w:tabs>
          <w:tab w:val="left" w:pos="284"/>
        </w:tabs>
        <w:spacing w:before="0" w:after="0"/>
        <w:ind w:right="33"/>
        <w:contextualSpacing/>
        <w:jc w:val="both"/>
        <w:rPr>
          <w:b/>
          <w:bCs/>
          <w:color w:val="1F497D"/>
          <w:sz w:val="20"/>
          <w:szCs w:val="20"/>
          <w:vertAlign w:val="superscript"/>
          <w:lang w:val="en-GB"/>
        </w:rPr>
      </w:pPr>
      <w:r w:rsidRPr="0041215D">
        <w:rPr>
          <w:b/>
          <w:bCs/>
          <w:color w:val="1F497D"/>
          <w:sz w:val="20"/>
          <w:szCs w:val="20"/>
          <w:lang w:val="sv-SE"/>
        </w:rPr>
        <w:t>Dr. Sreeram Daida</w:t>
      </w:r>
      <w:r w:rsidRPr="0041215D">
        <w:rPr>
          <w:b/>
          <w:bCs/>
          <w:color w:val="1F497D"/>
          <w:sz w:val="20"/>
          <w:szCs w:val="20"/>
          <w:vertAlign w:val="superscript"/>
          <w:lang w:val="sv-SE"/>
        </w:rPr>
        <w:t>1</w:t>
      </w:r>
      <w:r w:rsidRPr="0041215D">
        <w:rPr>
          <w:b/>
          <w:bCs/>
          <w:color w:val="1F497D"/>
          <w:sz w:val="20"/>
          <w:szCs w:val="20"/>
          <w:lang w:val="sv-SE"/>
        </w:rPr>
        <w:t>, Dr. Yogita Yadav</w:t>
      </w:r>
      <w:r w:rsidRPr="0041215D">
        <w:rPr>
          <w:b/>
          <w:bCs/>
          <w:color w:val="1F497D"/>
          <w:sz w:val="20"/>
          <w:szCs w:val="20"/>
          <w:vertAlign w:val="superscript"/>
          <w:lang w:val="sv-SE"/>
        </w:rPr>
        <w:t>2</w:t>
      </w:r>
      <w:r w:rsidRPr="0041215D">
        <w:rPr>
          <w:b/>
          <w:bCs/>
          <w:color w:val="1F497D"/>
          <w:sz w:val="20"/>
          <w:szCs w:val="20"/>
          <w:lang w:val="sv-SE"/>
        </w:rPr>
        <w:t>, Dr. Kruttika Kaustubh Sontakke</w:t>
      </w:r>
      <w:r w:rsidRPr="0041215D">
        <w:rPr>
          <w:b/>
          <w:bCs/>
          <w:color w:val="1F497D"/>
          <w:sz w:val="20"/>
          <w:szCs w:val="20"/>
          <w:vertAlign w:val="superscript"/>
          <w:lang w:val="sv-SE"/>
        </w:rPr>
        <w:t>3</w:t>
      </w:r>
      <w:r w:rsidRPr="0041215D">
        <w:rPr>
          <w:b/>
          <w:bCs/>
          <w:color w:val="1F497D"/>
          <w:sz w:val="20"/>
          <w:szCs w:val="20"/>
          <w:lang w:val="sv-SE"/>
        </w:rPr>
        <w:t>, Dr. Ashwini Bagkar</w:t>
      </w:r>
      <w:r w:rsidRPr="0041215D">
        <w:rPr>
          <w:b/>
          <w:bCs/>
          <w:color w:val="1F497D"/>
          <w:sz w:val="20"/>
          <w:szCs w:val="20"/>
          <w:vertAlign w:val="superscript"/>
          <w:lang w:val="sv-SE"/>
        </w:rPr>
        <w:t>4</w:t>
      </w:r>
      <w:r w:rsidRPr="0041215D">
        <w:rPr>
          <w:b/>
          <w:bCs/>
          <w:color w:val="1F497D"/>
          <w:sz w:val="20"/>
          <w:szCs w:val="20"/>
          <w:lang w:val="sv-SE"/>
        </w:rPr>
        <w:t>, Dr. Kaustubh Arvind Sontakke</w:t>
      </w:r>
      <w:r w:rsidRPr="0041215D">
        <w:rPr>
          <w:b/>
          <w:bCs/>
          <w:color w:val="1F497D"/>
          <w:sz w:val="20"/>
          <w:szCs w:val="20"/>
          <w:vertAlign w:val="superscript"/>
          <w:lang w:val="sv-SE"/>
        </w:rPr>
        <w:t>5</w:t>
      </w:r>
      <w:r w:rsidRPr="0041215D">
        <w:rPr>
          <w:b/>
          <w:bCs/>
          <w:color w:val="1F497D"/>
          <w:sz w:val="20"/>
          <w:szCs w:val="20"/>
          <w:lang w:val="sv-SE"/>
        </w:rPr>
        <w:t xml:space="preserve"> and Dr. Ashutosh Pathak</w:t>
      </w:r>
      <w:r w:rsidRPr="0041215D">
        <w:rPr>
          <w:b/>
          <w:bCs/>
          <w:color w:val="1F497D"/>
          <w:sz w:val="20"/>
          <w:szCs w:val="20"/>
          <w:vertAlign w:val="superscript"/>
          <w:lang w:val="sv-SE"/>
        </w:rPr>
        <w:t>6</w:t>
      </w:r>
    </w:p>
    <w:p w14:paraId="1335FE86" w14:textId="77777777" w:rsidR="0041215D" w:rsidRPr="0041215D" w:rsidRDefault="0041215D" w:rsidP="0041215D">
      <w:pPr>
        <w:spacing w:after="0" w:line="240" w:lineRule="auto"/>
        <w:ind w:right="33"/>
        <w:jc w:val="both"/>
        <w:rPr>
          <w:rFonts w:ascii="Times New Roman" w:eastAsiaTheme="majorEastAsia" w:hAnsi="Times New Roman" w:cs="Times New Roman"/>
          <w:color w:val="1F497D"/>
          <w:sz w:val="18"/>
          <w:szCs w:val="18"/>
        </w:rPr>
      </w:pPr>
      <w:r w:rsidRPr="0041215D">
        <w:rPr>
          <w:rFonts w:ascii="Times New Roman" w:eastAsiaTheme="majorEastAsia" w:hAnsi="Times New Roman" w:cs="Times New Roman"/>
          <w:color w:val="1F497D"/>
          <w:sz w:val="18"/>
          <w:szCs w:val="18"/>
          <w:vertAlign w:val="superscript"/>
        </w:rPr>
        <w:t>1</w:t>
      </w:r>
      <w:r w:rsidRPr="0041215D">
        <w:rPr>
          <w:rFonts w:ascii="Times New Roman" w:eastAsiaTheme="majorEastAsia" w:hAnsi="Times New Roman" w:cs="Times New Roman"/>
          <w:color w:val="1F497D"/>
          <w:sz w:val="18"/>
          <w:szCs w:val="18"/>
        </w:rPr>
        <w:t>Associate Professor of Commerce, Badruka College of Commerce and Art's, Hyderabad</w:t>
      </w:r>
    </w:p>
    <w:p w14:paraId="1972034B" w14:textId="2896F208" w:rsidR="0041215D" w:rsidRPr="0041215D" w:rsidRDefault="0041215D" w:rsidP="0041215D">
      <w:pPr>
        <w:spacing w:after="0" w:line="240" w:lineRule="auto"/>
        <w:ind w:right="33"/>
        <w:jc w:val="both"/>
        <w:rPr>
          <w:rFonts w:ascii="Times New Roman" w:eastAsiaTheme="majorEastAsia" w:hAnsi="Times New Roman" w:cs="Times New Roman"/>
          <w:color w:val="1F497D"/>
          <w:sz w:val="18"/>
          <w:szCs w:val="18"/>
        </w:rPr>
      </w:pPr>
      <w:r>
        <w:rPr>
          <w:rFonts w:ascii="Times New Roman" w:eastAsiaTheme="majorEastAsia" w:hAnsi="Times New Roman" w:cs="Times New Roman"/>
          <w:color w:val="1F497D"/>
          <w:sz w:val="18"/>
          <w:szCs w:val="18"/>
        </w:rPr>
        <w:t xml:space="preserve">Email: </w:t>
      </w:r>
      <w:hyperlink r:id="rId8" w:history="1">
        <w:r w:rsidRPr="004A6E45">
          <w:rPr>
            <w:rStyle w:val="Hyperlink"/>
            <w:rFonts w:ascii="Times New Roman" w:eastAsiaTheme="majorEastAsia" w:hAnsi="Times New Roman" w:cs="Times New Roman"/>
            <w:sz w:val="18"/>
            <w:szCs w:val="18"/>
          </w:rPr>
          <w:t>dr.srdaida@gmail.com</w:t>
        </w:r>
      </w:hyperlink>
      <w:r>
        <w:rPr>
          <w:rFonts w:ascii="Times New Roman" w:eastAsiaTheme="majorEastAsia" w:hAnsi="Times New Roman" w:cs="Times New Roman"/>
          <w:color w:val="1F497D"/>
          <w:sz w:val="18"/>
          <w:szCs w:val="18"/>
        </w:rPr>
        <w:t xml:space="preserve"> </w:t>
      </w:r>
    </w:p>
    <w:p w14:paraId="45F518F5" w14:textId="77777777" w:rsidR="0041215D" w:rsidRPr="0041215D" w:rsidRDefault="0041215D" w:rsidP="0041215D">
      <w:pPr>
        <w:spacing w:after="0" w:line="240" w:lineRule="auto"/>
        <w:ind w:right="33"/>
        <w:jc w:val="both"/>
        <w:rPr>
          <w:rFonts w:ascii="Times New Roman" w:eastAsiaTheme="majorEastAsia" w:hAnsi="Times New Roman" w:cs="Times New Roman"/>
          <w:color w:val="1F497D"/>
          <w:sz w:val="18"/>
          <w:szCs w:val="18"/>
        </w:rPr>
      </w:pPr>
      <w:r w:rsidRPr="0041215D">
        <w:rPr>
          <w:rFonts w:ascii="Times New Roman" w:eastAsiaTheme="majorEastAsia" w:hAnsi="Times New Roman" w:cs="Times New Roman"/>
          <w:color w:val="1F497D"/>
          <w:sz w:val="18"/>
          <w:szCs w:val="18"/>
          <w:vertAlign w:val="superscript"/>
        </w:rPr>
        <w:t>2</w:t>
      </w:r>
      <w:r w:rsidRPr="0041215D">
        <w:rPr>
          <w:rFonts w:ascii="Times New Roman" w:eastAsiaTheme="majorEastAsia" w:hAnsi="Times New Roman" w:cs="Times New Roman"/>
          <w:color w:val="1F497D"/>
          <w:sz w:val="18"/>
          <w:szCs w:val="18"/>
        </w:rPr>
        <w:t>Assistant Professor, School of Management, Babu Banarasi Das University, Lucknow</w:t>
      </w:r>
    </w:p>
    <w:p w14:paraId="66CB3822" w14:textId="7762F5AB" w:rsidR="0041215D" w:rsidRPr="0041215D" w:rsidRDefault="0041215D" w:rsidP="0041215D">
      <w:pPr>
        <w:spacing w:after="0" w:line="240" w:lineRule="auto"/>
        <w:ind w:right="33"/>
        <w:jc w:val="both"/>
        <w:rPr>
          <w:rFonts w:ascii="Times New Roman" w:eastAsiaTheme="majorEastAsia" w:hAnsi="Times New Roman" w:cs="Times New Roman"/>
          <w:color w:val="1F497D"/>
          <w:sz w:val="18"/>
          <w:szCs w:val="18"/>
        </w:rPr>
      </w:pPr>
      <w:r>
        <w:rPr>
          <w:rFonts w:ascii="Times New Roman" w:eastAsiaTheme="majorEastAsia" w:hAnsi="Times New Roman" w:cs="Times New Roman"/>
          <w:color w:val="1F497D"/>
          <w:sz w:val="18"/>
          <w:szCs w:val="18"/>
        </w:rPr>
        <w:t xml:space="preserve">Email: </w:t>
      </w:r>
      <w:hyperlink r:id="rId9" w:history="1">
        <w:r w:rsidRPr="004A6E45">
          <w:rPr>
            <w:rStyle w:val="Hyperlink"/>
            <w:rFonts w:ascii="Times New Roman" w:eastAsiaTheme="majorEastAsia" w:hAnsi="Times New Roman" w:cs="Times New Roman"/>
            <w:sz w:val="18"/>
            <w:szCs w:val="18"/>
          </w:rPr>
          <w:t>yogitadv7@gmail.com</w:t>
        </w:r>
      </w:hyperlink>
      <w:r>
        <w:rPr>
          <w:rFonts w:ascii="Times New Roman" w:eastAsiaTheme="majorEastAsia" w:hAnsi="Times New Roman" w:cs="Times New Roman"/>
          <w:color w:val="1F497D"/>
          <w:sz w:val="18"/>
          <w:szCs w:val="18"/>
        </w:rPr>
        <w:t xml:space="preserve"> </w:t>
      </w:r>
    </w:p>
    <w:p w14:paraId="1D3554FC" w14:textId="77777777" w:rsidR="0041215D" w:rsidRPr="0041215D" w:rsidRDefault="0041215D" w:rsidP="0041215D">
      <w:pPr>
        <w:spacing w:after="0" w:line="240" w:lineRule="auto"/>
        <w:ind w:right="33"/>
        <w:jc w:val="both"/>
        <w:rPr>
          <w:rFonts w:ascii="Times New Roman" w:eastAsiaTheme="majorEastAsia" w:hAnsi="Times New Roman" w:cs="Times New Roman"/>
          <w:color w:val="1F497D"/>
          <w:sz w:val="18"/>
          <w:szCs w:val="18"/>
        </w:rPr>
      </w:pPr>
      <w:r w:rsidRPr="0041215D">
        <w:rPr>
          <w:rFonts w:ascii="Times New Roman" w:eastAsiaTheme="majorEastAsia" w:hAnsi="Times New Roman" w:cs="Times New Roman"/>
          <w:color w:val="1F497D"/>
          <w:sz w:val="18"/>
          <w:szCs w:val="18"/>
          <w:vertAlign w:val="superscript"/>
        </w:rPr>
        <w:t>3</w:t>
      </w:r>
      <w:r w:rsidRPr="0041215D">
        <w:rPr>
          <w:rFonts w:ascii="Times New Roman" w:eastAsiaTheme="majorEastAsia" w:hAnsi="Times New Roman" w:cs="Times New Roman"/>
          <w:color w:val="1F497D"/>
          <w:sz w:val="18"/>
          <w:szCs w:val="18"/>
        </w:rPr>
        <w:t>Assistant Professor, Department of Finance, Ramachandran International Institute of Management, Bavdhan, Pune</w:t>
      </w:r>
    </w:p>
    <w:p w14:paraId="2209F8DA" w14:textId="77777777" w:rsidR="0041215D" w:rsidRPr="0041215D" w:rsidRDefault="0041215D" w:rsidP="0041215D">
      <w:pPr>
        <w:spacing w:after="0" w:line="240" w:lineRule="auto"/>
        <w:ind w:right="33"/>
        <w:jc w:val="both"/>
        <w:rPr>
          <w:rFonts w:ascii="Times New Roman" w:eastAsiaTheme="majorEastAsia" w:hAnsi="Times New Roman" w:cs="Times New Roman"/>
          <w:color w:val="1F497D"/>
          <w:sz w:val="18"/>
          <w:szCs w:val="18"/>
        </w:rPr>
      </w:pPr>
      <w:r w:rsidRPr="0041215D">
        <w:rPr>
          <w:rFonts w:ascii="Times New Roman" w:eastAsiaTheme="majorEastAsia" w:hAnsi="Times New Roman" w:cs="Times New Roman"/>
          <w:color w:val="1F497D"/>
          <w:sz w:val="18"/>
          <w:szCs w:val="18"/>
          <w:vertAlign w:val="superscript"/>
        </w:rPr>
        <w:t>4</w:t>
      </w:r>
      <w:r w:rsidRPr="0041215D">
        <w:rPr>
          <w:rFonts w:ascii="Times New Roman" w:eastAsiaTheme="majorEastAsia" w:hAnsi="Times New Roman" w:cs="Times New Roman"/>
          <w:color w:val="1F497D"/>
          <w:sz w:val="18"/>
          <w:szCs w:val="18"/>
        </w:rPr>
        <w:t>Assistant Professor, School of Business, Dr. Vishwanath Karad MIT World Peace University, Kothrud, Pune</w:t>
      </w:r>
    </w:p>
    <w:p w14:paraId="739C8A99" w14:textId="434F12CB" w:rsidR="0041215D" w:rsidRPr="0041215D" w:rsidRDefault="0041215D" w:rsidP="0041215D">
      <w:pPr>
        <w:spacing w:after="0" w:line="240" w:lineRule="auto"/>
        <w:ind w:right="33"/>
        <w:jc w:val="both"/>
        <w:rPr>
          <w:rFonts w:ascii="Times New Roman" w:eastAsiaTheme="majorEastAsia" w:hAnsi="Times New Roman" w:cs="Times New Roman"/>
          <w:color w:val="1F497D"/>
          <w:sz w:val="18"/>
          <w:szCs w:val="18"/>
        </w:rPr>
      </w:pPr>
      <w:r>
        <w:rPr>
          <w:rFonts w:ascii="Times New Roman" w:eastAsiaTheme="majorEastAsia" w:hAnsi="Times New Roman" w:cs="Times New Roman"/>
          <w:color w:val="1F497D"/>
          <w:sz w:val="18"/>
          <w:szCs w:val="18"/>
        </w:rPr>
        <w:t xml:space="preserve">Email: </w:t>
      </w:r>
      <w:hyperlink r:id="rId10" w:history="1">
        <w:r w:rsidRPr="004A6E45">
          <w:rPr>
            <w:rStyle w:val="Hyperlink"/>
            <w:rFonts w:ascii="Times New Roman" w:eastAsiaTheme="majorEastAsia" w:hAnsi="Times New Roman" w:cs="Times New Roman"/>
            <w:sz w:val="18"/>
            <w:szCs w:val="18"/>
          </w:rPr>
          <w:t>ashwini.bagkar@mitwpu.edu.in</w:t>
        </w:r>
      </w:hyperlink>
      <w:r>
        <w:rPr>
          <w:rFonts w:ascii="Times New Roman" w:eastAsiaTheme="majorEastAsia" w:hAnsi="Times New Roman" w:cs="Times New Roman"/>
          <w:color w:val="1F497D"/>
          <w:sz w:val="18"/>
          <w:szCs w:val="18"/>
        </w:rPr>
        <w:t xml:space="preserve"> </w:t>
      </w:r>
    </w:p>
    <w:p w14:paraId="577E13C1" w14:textId="77777777" w:rsidR="0041215D" w:rsidRPr="0041215D" w:rsidRDefault="0041215D" w:rsidP="0041215D">
      <w:pPr>
        <w:spacing w:after="0" w:line="240" w:lineRule="auto"/>
        <w:ind w:right="33"/>
        <w:jc w:val="both"/>
        <w:rPr>
          <w:rFonts w:ascii="Times New Roman" w:eastAsiaTheme="majorEastAsia" w:hAnsi="Times New Roman" w:cs="Times New Roman"/>
          <w:color w:val="1F497D"/>
          <w:sz w:val="18"/>
          <w:szCs w:val="18"/>
        </w:rPr>
      </w:pPr>
      <w:r w:rsidRPr="0041215D">
        <w:rPr>
          <w:rFonts w:ascii="Times New Roman" w:eastAsiaTheme="majorEastAsia" w:hAnsi="Times New Roman" w:cs="Times New Roman"/>
          <w:color w:val="1F497D"/>
          <w:sz w:val="18"/>
          <w:szCs w:val="18"/>
          <w:vertAlign w:val="superscript"/>
        </w:rPr>
        <w:t>5</w:t>
      </w:r>
      <w:r w:rsidRPr="0041215D">
        <w:rPr>
          <w:rFonts w:ascii="Times New Roman" w:eastAsiaTheme="majorEastAsia" w:hAnsi="Times New Roman" w:cs="Times New Roman"/>
          <w:color w:val="1F497D"/>
          <w:sz w:val="18"/>
          <w:szCs w:val="18"/>
        </w:rPr>
        <w:t>Associate Professor, School of Business, Dr. Vishwanath Karad MIT World Peace University, Kothrud, Pune, 411038</w:t>
      </w:r>
    </w:p>
    <w:p w14:paraId="1AC8BCD7" w14:textId="38B7FF13" w:rsidR="0041215D" w:rsidRPr="0041215D" w:rsidRDefault="0041215D" w:rsidP="0041215D">
      <w:pPr>
        <w:spacing w:after="0" w:line="240" w:lineRule="auto"/>
        <w:ind w:right="33"/>
        <w:jc w:val="both"/>
        <w:rPr>
          <w:rFonts w:ascii="Times New Roman" w:eastAsiaTheme="majorEastAsia" w:hAnsi="Times New Roman" w:cs="Times New Roman"/>
          <w:color w:val="1F497D"/>
          <w:sz w:val="18"/>
          <w:szCs w:val="18"/>
        </w:rPr>
      </w:pPr>
      <w:r>
        <w:rPr>
          <w:rFonts w:ascii="Times New Roman" w:eastAsiaTheme="majorEastAsia" w:hAnsi="Times New Roman" w:cs="Times New Roman"/>
          <w:color w:val="1F497D"/>
          <w:sz w:val="18"/>
          <w:szCs w:val="18"/>
        </w:rPr>
        <w:t xml:space="preserve">Email: </w:t>
      </w:r>
      <w:hyperlink r:id="rId11" w:history="1">
        <w:r w:rsidRPr="004A6E45">
          <w:rPr>
            <w:rStyle w:val="Hyperlink"/>
            <w:rFonts w:ascii="Times New Roman" w:eastAsiaTheme="majorEastAsia" w:hAnsi="Times New Roman" w:cs="Times New Roman"/>
            <w:sz w:val="18"/>
            <w:szCs w:val="18"/>
          </w:rPr>
          <w:t>kaustubh.sontakke@mitwpu.edu.in</w:t>
        </w:r>
      </w:hyperlink>
      <w:r>
        <w:rPr>
          <w:rFonts w:ascii="Times New Roman" w:eastAsiaTheme="majorEastAsia" w:hAnsi="Times New Roman" w:cs="Times New Roman"/>
          <w:color w:val="1F497D"/>
          <w:sz w:val="18"/>
          <w:szCs w:val="18"/>
        </w:rPr>
        <w:t xml:space="preserve"> </w:t>
      </w:r>
    </w:p>
    <w:p w14:paraId="220142E6" w14:textId="77777777" w:rsidR="0041215D" w:rsidRPr="0041215D" w:rsidRDefault="0041215D" w:rsidP="0041215D">
      <w:pPr>
        <w:spacing w:after="0" w:line="240" w:lineRule="auto"/>
        <w:ind w:right="33"/>
        <w:jc w:val="both"/>
        <w:rPr>
          <w:rFonts w:ascii="Times New Roman" w:eastAsiaTheme="majorEastAsia" w:hAnsi="Times New Roman" w:cs="Times New Roman"/>
          <w:color w:val="1F497D"/>
          <w:sz w:val="18"/>
          <w:szCs w:val="18"/>
        </w:rPr>
      </w:pPr>
      <w:r w:rsidRPr="0041215D">
        <w:rPr>
          <w:rFonts w:ascii="Times New Roman" w:eastAsiaTheme="majorEastAsia" w:hAnsi="Times New Roman" w:cs="Times New Roman"/>
          <w:color w:val="1F497D"/>
          <w:sz w:val="18"/>
          <w:szCs w:val="18"/>
          <w:vertAlign w:val="superscript"/>
        </w:rPr>
        <w:t>6</w:t>
      </w:r>
      <w:r w:rsidRPr="0041215D">
        <w:rPr>
          <w:rFonts w:ascii="Times New Roman" w:eastAsiaTheme="majorEastAsia" w:hAnsi="Times New Roman" w:cs="Times New Roman"/>
          <w:color w:val="1F497D"/>
          <w:sz w:val="18"/>
          <w:szCs w:val="18"/>
        </w:rPr>
        <w:t>Assistant Professor, Department of Pharmacy Practice, Teerthanker Mahaveer College of Pharmacy, Teerthanker Mahaveer University, Moradabad UP, India, 244001</w:t>
      </w:r>
    </w:p>
    <w:p w14:paraId="29947F08" w14:textId="43414910" w:rsidR="00245175" w:rsidRPr="00DC4D09" w:rsidRDefault="0041215D" w:rsidP="0041215D">
      <w:pPr>
        <w:spacing w:after="0" w:line="240" w:lineRule="auto"/>
        <w:ind w:right="33"/>
        <w:jc w:val="both"/>
        <w:rPr>
          <w:rFonts w:ascii="Times New Roman" w:eastAsiaTheme="majorEastAsia" w:hAnsi="Times New Roman" w:cs="Times New Roman"/>
          <w:color w:val="1F497D"/>
          <w:sz w:val="18"/>
          <w:szCs w:val="18"/>
        </w:rPr>
      </w:pPr>
      <w:r>
        <w:rPr>
          <w:rFonts w:ascii="Times New Roman" w:eastAsiaTheme="majorEastAsia" w:hAnsi="Times New Roman" w:cs="Times New Roman"/>
          <w:color w:val="1F497D"/>
          <w:sz w:val="18"/>
          <w:szCs w:val="18"/>
        </w:rPr>
        <w:t xml:space="preserve">Email: </w:t>
      </w:r>
      <w:hyperlink r:id="rId12" w:history="1">
        <w:r w:rsidRPr="004A6E45">
          <w:rPr>
            <w:rStyle w:val="Hyperlink"/>
            <w:rFonts w:ascii="Times New Roman" w:eastAsiaTheme="majorEastAsia" w:hAnsi="Times New Roman" w:cs="Times New Roman"/>
            <w:sz w:val="18"/>
            <w:szCs w:val="18"/>
          </w:rPr>
          <w:t>ashutosh4088@gmail.com</w:t>
        </w:r>
      </w:hyperlink>
      <w:r>
        <w:rPr>
          <w:rFonts w:ascii="Times New Roman" w:eastAsiaTheme="majorEastAsia" w:hAnsi="Times New Roman" w:cs="Times New Roman"/>
          <w:color w:val="1F497D"/>
          <w:sz w:val="18"/>
          <w:szCs w:val="18"/>
        </w:rPr>
        <w:t xml:space="preserve"> </w:t>
      </w:r>
    </w:p>
    <w:p w14:paraId="46D818D3" w14:textId="77777777" w:rsidR="00DC4D09" w:rsidRPr="002968D5" w:rsidRDefault="00DC4D09" w:rsidP="00245175">
      <w:pPr>
        <w:spacing w:after="0" w:line="240" w:lineRule="auto"/>
        <w:ind w:right="33"/>
        <w:jc w:val="both"/>
        <w:rPr>
          <w:rFonts w:ascii="Times New Roman" w:eastAsiaTheme="majorEastAsia" w:hAnsi="Times New Roman" w:cs="Times New Roman"/>
          <w:color w:val="1F497D"/>
          <w:sz w:val="20"/>
          <w:szCs w:val="20"/>
        </w:rPr>
      </w:pPr>
    </w:p>
    <w:tbl>
      <w:tblPr>
        <w:tblStyle w:val="TableGrid"/>
        <w:tblW w:w="0" w:type="auto"/>
        <w:jc w:val="center"/>
        <w:tblBorders>
          <w:top w:val="single" w:sz="12" w:space="0" w:color="C00000"/>
          <w:left w:val="none" w:sz="0" w:space="0" w:color="auto"/>
          <w:bottom w:val="single" w:sz="12" w:space="0" w:color="C00000"/>
          <w:right w:val="none" w:sz="0" w:space="0" w:color="auto"/>
          <w:insideH w:val="single" w:sz="12" w:space="0" w:color="C00000"/>
          <w:insideV w:val="single" w:sz="12" w:space="0" w:color="C00000"/>
        </w:tblBorders>
        <w:tblLook w:val="04A0" w:firstRow="1" w:lastRow="0" w:firstColumn="1" w:lastColumn="0" w:noHBand="0" w:noVBand="1"/>
      </w:tblPr>
      <w:tblGrid>
        <w:gridCol w:w="1843"/>
        <w:gridCol w:w="7791"/>
      </w:tblGrid>
      <w:tr w:rsidR="00245175" w:rsidRPr="00245175" w14:paraId="454B2172" w14:textId="77777777" w:rsidTr="00B64A56">
        <w:trPr>
          <w:jc w:val="center"/>
        </w:trPr>
        <w:tc>
          <w:tcPr>
            <w:tcW w:w="1843" w:type="dxa"/>
          </w:tcPr>
          <w:p w14:paraId="5EF47A1D" w14:textId="77777777" w:rsidR="00AD2957" w:rsidRPr="00AD2957" w:rsidRDefault="00AD2957" w:rsidP="00AD2957">
            <w:pPr>
              <w:tabs>
                <w:tab w:val="left" w:pos="426"/>
                <w:tab w:val="left" w:pos="883"/>
              </w:tabs>
              <w:spacing w:after="0" w:line="240" w:lineRule="auto"/>
              <w:ind w:left="32"/>
              <w:rPr>
                <w:rStyle w:val="fontstyle01"/>
                <w:rFonts w:ascii="Times New Roman" w:hAnsi="Times New Roman" w:cs="Times New Roman"/>
                <w:sz w:val="20"/>
                <w:szCs w:val="20"/>
              </w:rPr>
            </w:pPr>
            <w:r w:rsidRPr="00AD2957">
              <w:rPr>
                <w:rStyle w:val="fontstyle01"/>
                <w:rFonts w:ascii="Times New Roman" w:hAnsi="Times New Roman" w:cs="Times New Roman"/>
                <w:sz w:val="20"/>
                <w:szCs w:val="20"/>
              </w:rPr>
              <w:t>Received: 30/09/2025</w:t>
            </w:r>
          </w:p>
          <w:p w14:paraId="63FD8DD0" w14:textId="77777777" w:rsidR="00AD2957" w:rsidRPr="00AD2957" w:rsidRDefault="00AD2957" w:rsidP="00AD2957">
            <w:pPr>
              <w:tabs>
                <w:tab w:val="left" w:pos="426"/>
                <w:tab w:val="left" w:pos="883"/>
              </w:tabs>
              <w:spacing w:after="0" w:line="240" w:lineRule="auto"/>
              <w:ind w:left="32"/>
              <w:rPr>
                <w:rStyle w:val="fontstyle01"/>
                <w:rFonts w:ascii="Times New Roman" w:hAnsi="Times New Roman" w:cs="Times New Roman"/>
                <w:sz w:val="20"/>
                <w:szCs w:val="20"/>
              </w:rPr>
            </w:pPr>
            <w:r w:rsidRPr="00AD2957">
              <w:rPr>
                <w:rStyle w:val="fontstyle01"/>
                <w:rFonts w:ascii="Times New Roman" w:hAnsi="Times New Roman" w:cs="Times New Roman"/>
                <w:sz w:val="20"/>
                <w:szCs w:val="20"/>
              </w:rPr>
              <w:t xml:space="preserve">Revised: 07/10/2025 </w:t>
            </w:r>
          </w:p>
          <w:p w14:paraId="11365841" w14:textId="77777777" w:rsidR="00AD2957" w:rsidRPr="00AD2957" w:rsidRDefault="00AD2957" w:rsidP="00AD2957">
            <w:pPr>
              <w:tabs>
                <w:tab w:val="left" w:pos="426"/>
                <w:tab w:val="left" w:pos="883"/>
              </w:tabs>
              <w:spacing w:after="0" w:line="240" w:lineRule="auto"/>
              <w:ind w:left="32"/>
              <w:rPr>
                <w:rStyle w:val="fontstyle01"/>
                <w:rFonts w:ascii="Times New Roman" w:hAnsi="Times New Roman" w:cs="Times New Roman"/>
                <w:sz w:val="20"/>
                <w:szCs w:val="20"/>
              </w:rPr>
            </w:pPr>
            <w:r w:rsidRPr="00AD2957">
              <w:rPr>
                <w:rStyle w:val="fontstyle01"/>
                <w:rFonts w:ascii="Times New Roman" w:hAnsi="Times New Roman" w:cs="Times New Roman"/>
                <w:sz w:val="20"/>
                <w:szCs w:val="20"/>
              </w:rPr>
              <w:t>Accepted: 22/10/2025</w:t>
            </w:r>
          </w:p>
          <w:p w14:paraId="3C1A0927" w14:textId="458C5956" w:rsidR="00245175" w:rsidRPr="00245175" w:rsidRDefault="00AD2957" w:rsidP="00AD2957">
            <w:pPr>
              <w:tabs>
                <w:tab w:val="left" w:pos="426"/>
                <w:tab w:val="left" w:pos="883"/>
              </w:tabs>
              <w:spacing w:after="0" w:line="240" w:lineRule="auto"/>
              <w:ind w:left="32"/>
              <w:rPr>
                <w:rFonts w:ascii="Times New Roman" w:hAnsi="Times New Roman" w:cs="Times New Roman"/>
                <w:sz w:val="20"/>
                <w:szCs w:val="20"/>
              </w:rPr>
            </w:pPr>
            <w:r w:rsidRPr="00AD2957">
              <w:rPr>
                <w:rStyle w:val="fontstyle01"/>
                <w:rFonts w:ascii="Times New Roman" w:hAnsi="Times New Roman" w:cs="Times New Roman"/>
                <w:sz w:val="20"/>
                <w:szCs w:val="20"/>
              </w:rPr>
              <w:t xml:space="preserve">Published: </w:t>
            </w:r>
            <w:r w:rsidR="007D0111">
              <w:rPr>
                <w:rStyle w:val="fontstyle01"/>
                <w:rFonts w:ascii="Times New Roman" w:hAnsi="Times New Roman" w:cs="Times New Roman"/>
                <w:sz w:val="20"/>
                <w:szCs w:val="20"/>
              </w:rPr>
              <w:t>0</w:t>
            </w:r>
            <w:r w:rsidR="007D0111">
              <w:rPr>
                <w:rStyle w:val="fontstyle01"/>
              </w:rPr>
              <w:t>5</w:t>
            </w:r>
            <w:r w:rsidRPr="00AD2957">
              <w:rPr>
                <w:rStyle w:val="fontstyle01"/>
                <w:rFonts w:ascii="Times New Roman" w:hAnsi="Times New Roman" w:cs="Times New Roman"/>
                <w:sz w:val="20"/>
                <w:szCs w:val="20"/>
              </w:rPr>
              <w:t>/1</w:t>
            </w:r>
            <w:r w:rsidR="007D0111">
              <w:rPr>
                <w:rStyle w:val="fontstyle01"/>
                <w:rFonts w:ascii="Times New Roman" w:hAnsi="Times New Roman" w:cs="Times New Roman"/>
                <w:sz w:val="20"/>
                <w:szCs w:val="20"/>
              </w:rPr>
              <w:t>1</w:t>
            </w:r>
            <w:r w:rsidRPr="00AD2957">
              <w:rPr>
                <w:rStyle w:val="fontstyle01"/>
                <w:rFonts w:ascii="Times New Roman" w:hAnsi="Times New Roman" w:cs="Times New Roman"/>
                <w:sz w:val="20"/>
                <w:szCs w:val="20"/>
              </w:rPr>
              <w:t>/2025</w:t>
            </w:r>
          </w:p>
          <w:p w14:paraId="4DDDE493" w14:textId="77777777" w:rsidR="00245175" w:rsidRPr="00245175" w:rsidRDefault="00245175" w:rsidP="00B64A56">
            <w:pPr>
              <w:tabs>
                <w:tab w:val="left" w:pos="426"/>
                <w:tab w:val="left" w:pos="883"/>
              </w:tabs>
              <w:spacing w:after="0" w:line="240" w:lineRule="auto"/>
              <w:ind w:left="32"/>
              <w:rPr>
                <w:rFonts w:ascii="Times New Roman" w:hAnsi="Times New Roman" w:cs="Times New Roman"/>
                <w:b/>
                <w:bCs/>
                <w:color w:val="1F497D"/>
                <w:sz w:val="20"/>
                <w:szCs w:val="20"/>
                <w:shd w:val="clear" w:color="auto" w:fill="FFFFFF"/>
              </w:rPr>
            </w:pPr>
          </w:p>
        </w:tc>
        <w:tc>
          <w:tcPr>
            <w:tcW w:w="7791" w:type="dxa"/>
          </w:tcPr>
          <w:p w14:paraId="5496B936" w14:textId="77777777" w:rsidR="00245175" w:rsidRPr="00245175" w:rsidRDefault="00245175" w:rsidP="00B64A56">
            <w:pPr>
              <w:tabs>
                <w:tab w:val="left" w:pos="426"/>
              </w:tabs>
              <w:spacing w:after="0" w:line="240" w:lineRule="auto"/>
              <w:rPr>
                <w:rFonts w:ascii="Times New Roman" w:hAnsi="Times New Roman" w:cs="Times New Roman"/>
                <w:b/>
                <w:color w:val="1F497D"/>
                <w:sz w:val="20"/>
                <w:szCs w:val="20"/>
              </w:rPr>
            </w:pPr>
            <w:r w:rsidRPr="00245175">
              <w:rPr>
                <w:rFonts w:ascii="Times New Roman" w:hAnsi="Times New Roman" w:cs="Times New Roman"/>
                <w:b/>
                <w:color w:val="1F497D"/>
                <w:sz w:val="20"/>
                <w:szCs w:val="20"/>
              </w:rPr>
              <w:t>ABSTRACT</w:t>
            </w:r>
          </w:p>
          <w:p w14:paraId="7FE7D4D2" w14:textId="77777777" w:rsidR="0041215D" w:rsidRDefault="0041215D" w:rsidP="0041215D">
            <w:pPr>
              <w:tabs>
                <w:tab w:val="left" w:pos="426"/>
              </w:tabs>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Traditional financial theory, anchored in the Efficient Market Hypothesis, posits that asset prices rationally reflect all available information. However, this framework consistently fails to adequately explain the extreme market volatility observed during crisis scenarios, such as financial collapses, pandemics, and geopolitical conflicts. This paper argues that the lens of behavioral finance, which integrates insights from cognitive psychology, is indispensable for understanding these market anomalies. We explore how systematic psychological biases—including herd behavior, loss aversion, overconfidence, and representativeness—drive collective investor sentiment away from rationality, leading to asset mispricing and amplified market swings. By examining specific crisis events, the paper delineates the mechanisms through which investor psychology transmutes exogenous shocks into endogenous financial instability. The findings underscore the limitations of purely quantitative models and advocate for a hybrid analytical approach that incorporates behavioral variables to better predict, interpret, and potentially mitigate the systemic risks associated with periods of profound market stress.</w:t>
            </w:r>
          </w:p>
          <w:p w14:paraId="2C3BC074" w14:textId="77777777" w:rsidR="0041215D" w:rsidRPr="0041215D" w:rsidRDefault="0041215D" w:rsidP="0041215D">
            <w:pPr>
              <w:tabs>
                <w:tab w:val="left" w:pos="426"/>
              </w:tabs>
              <w:spacing w:after="0" w:line="240" w:lineRule="auto"/>
              <w:jc w:val="both"/>
              <w:rPr>
                <w:rFonts w:ascii="Times New Roman" w:hAnsi="Times New Roman" w:cs="Times New Roman"/>
                <w:color w:val="1F497D"/>
                <w:sz w:val="20"/>
                <w:szCs w:val="20"/>
              </w:rPr>
            </w:pPr>
          </w:p>
          <w:p w14:paraId="4856CEDF" w14:textId="7BDC73DF" w:rsidR="00EC0771" w:rsidRPr="00245175" w:rsidRDefault="0041215D" w:rsidP="0041215D">
            <w:pPr>
              <w:tabs>
                <w:tab w:val="left" w:pos="426"/>
              </w:tabs>
              <w:spacing w:after="0" w:line="240" w:lineRule="auto"/>
              <w:rPr>
                <w:rFonts w:ascii="Times New Roman" w:hAnsi="Times New Roman" w:cs="Times New Roman"/>
                <w:color w:val="1F497D"/>
                <w:sz w:val="20"/>
                <w:szCs w:val="20"/>
              </w:rPr>
            </w:pPr>
            <w:r w:rsidRPr="0041215D">
              <w:rPr>
                <w:rFonts w:ascii="Times New Roman" w:hAnsi="Times New Roman" w:cs="Times New Roman"/>
                <w:b/>
                <w:color w:val="1F497D"/>
                <w:sz w:val="20"/>
                <w:szCs w:val="20"/>
              </w:rPr>
              <w:t>Keywords</w:t>
            </w:r>
            <w:r w:rsidRPr="0041215D">
              <w:rPr>
                <w:rFonts w:ascii="Times New Roman" w:hAnsi="Times New Roman" w:cs="Times New Roman"/>
                <w:color w:val="1F497D"/>
                <w:sz w:val="20"/>
                <w:szCs w:val="20"/>
              </w:rPr>
              <w:t>: Behavioral Finance, Investor Psychology, Market Volatility, Financial Crisis, Herd Behavior, Cognitive Biases.</w:t>
            </w:r>
          </w:p>
        </w:tc>
      </w:tr>
    </w:tbl>
    <w:p w14:paraId="6DA35075" w14:textId="77777777" w:rsidR="00245175" w:rsidRDefault="00245175" w:rsidP="00997116">
      <w:pPr>
        <w:tabs>
          <w:tab w:val="left" w:pos="284"/>
        </w:tabs>
        <w:autoSpaceDE w:val="0"/>
        <w:autoSpaceDN w:val="0"/>
        <w:adjustRightInd w:val="0"/>
        <w:spacing w:after="0" w:line="240" w:lineRule="auto"/>
        <w:ind w:right="33"/>
        <w:jc w:val="both"/>
        <w:rPr>
          <w:rFonts w:ascii="Times New Roman" w:hAnsi="Times New Roman" w:cs="Times New Roman"/>
          <w:bCs/>
          <w:color w:val="1F497D"/>
          <w:sz w:val="20"/>
          <w:szCs w:val="20"/>
        </w:rPr>
      </w:pPr>
    </w:p>
    <w:p w14:paraId="4905D294" w14:textId="77777777" w:rsidR="00FC6EBC" w:rsidRDefault="00FC6EBC" w:rsidP="00997116">
      <w:pPr>
        <w:tabs>
          <w:tab w:val="left" w:pos="284"/>
        </w:tabs>
        <w:autoSpaceDE w:val="0"/>
        <w:autoSpaceDN w:val="0"/>
        <w:adjustRightInd w:val="0"/>
        <w:spacing w:after="0" w:line="240" w:lineRule="auto"/>
        <w:ind w:right="33"/>
        <w:jc w:val="both"/>
        <w:rPr>
          <w:rFonts w:ascii="Times New Roman" w:hAnsi="Times New Roman" w:cs="Times New Roman"/>
          <w:bCs/>
          <w:color w:val="1F497D"/>
          <w:sz w:val="20"/>
          <w:szCs w:val="20"/>
        </w:rPr>
        <w:sectPr w:rsidR="00FC6EBC" w:rsidSect="00DF03F4">
          <w:headerReference w:type="default" r:id="rId13"/>
          <w:footerReference w:type="default" r:id="rId14"/>
          <w:headerReference w:type="first" r:id="rId15"/>
          <w:footerReference w:type="first" r:id="rId16"/>
          <w:pgSz w:w="11906" w:h="16838" w:code="9"/>
          <w:pgMar w:top="1021" w:right="1066" w:bottom="964" w:left="1168" w:header="851" w:footer="777" w:gutter="0"/>
          <w:pgNumType w:start="851"/>
          <w:cols w:space="708"/>
          <w:titlePg/>
          <w:docGrid w:linePitch="360"/>
        </w:sectPr>
      </w:pPr>
    </w:p>
    <w:p w14:paraId="75CCF401" w14:textId="089291F9" w:rsidR="00A608E4" w:rsidRPr="00245175" w:rsidRDefault="00AD2957" w:rsidP="00997116">
      <w:pPr>
        <w:tabs>
          <w:tab w:val="left" w:pos="284"/>
        </w:tabs>
        <w:autoSpaceDE w:val="0"/>
        <w:autoSpaceDN w:val="0"/>
        <w:adjustRightInd w:val="0"/>
        <w:spacing w:after="0" w:line="240" w:lineRule="auto"/>
        <w:ind w:right="33"/>
        <w:jc w:val="both"/>
        <w:rPr>
          <w:rFonts w:ascii="Times New Roman" w:hAnsi="Times New Roman" w:cs="Times New Roman"/>
          <w:bCs/>
          <w:color w:val="1F497D"/>
          <w:sz w:val="20"/>
          <w:szCs w:val="20"/>
        </w:rPr>
      </w:pPr>
      <w:r w:rsidRPr="00245175">
        <w:rPr>
          <w:rFonts w:ascii="Times New Roman" w:hAnsi="Times New Roman" w:cs="Times New Roman"/>
          <w:b/>
          <w:color w:val="1F497D"/>
          <w:sz w:val="20"/>
          <w:szCs w:val="20"/>
        </w:rPr>
        <w:t>INTRODUCTION</w:t>
      </w:r>
      <w:r w:rsidRPr="00245175">
        <w:rPr>
          <w:rFonts w:ascii="Times New Roman" w:hAnsi="Times New Roman" w:cs="Times New Roman"/>
          <w:bCs/>
          <w:color w:val="1F497D"/>
          <w:sz w:val="20"/>
          <w:szCs w:val="20"/>
        </w:rPr>
        <w:t>:</w:t>
      </w:r>
    </w:p>
    <w:p w14:paraId="0FDF303F" w14:textId="77777777" w:rsidR="0041215D" w:rsidRPr="0041215D" w:rsidRDefault="0041215D" w:rsidP="0041215D">
      <w:pPr>
        <w:spacing w:after="0" w:line="240" w:lineRule="auto"/>
        <w:jc w:val="both"/>
        <w:rPr>
          <w:rFonts w:ascii="Times New Roman" w:hAnsi="Times New Roman" w:cs="Times New Roman"/>
          <w:b/>
          <w:bCs/>
          <w:color w:val="1F497D"/>
          <w:sz w:val="20"/>
          <w:szCs w:val="20"/>
        </w:rPr>
      </w:pPr>
      <w:r w:rsidRPr="0041215D">
        <w:rPr>
          <w:rFonts w:ascii="Times New Roman" w:hAnsi="Times New Roman" w:cs="Times New Roman"/>
          <w:b/>
          <w:bCs/>
          <w:color w:val="1F497D"/>
          <w:sz w:val="20"/>
          <w:szCs w:val="20"/>
        </w:rPr>
        <w:t>1.1 Overview</w:t>
      </w:r>
    </w:p>
    <w:p w14:paraId="004A9843" w14:textId="77777777" w:rsidR="0041215D" w:rsidRPr="0041215D" w:rsidRDefault="0041215D" w:rsidP="0041215D">
      <w:p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 xml:space="preserve">The global financial landscape is periodically convulsed by crises—from the dot-com bubble and the 2008 Global Financial risis (GFC) to the recent COVID-19 pandemic and geopolitical conflicts—that precipitate episodes of extreme market volatility. These periods are characterized by asset price swings, liquidity evaporations, and correlation breakdowns that defy the predictions of classical financial theories. The Efficient Market Hypothesis (EMH), a cornerstone of traditional finance, asserts that markets are rational, investors are utility-maximizing, and prices instantaneously incorporate all available information [18]. However, the empirical reality of panic selling, speculative bubbles, and sustained deviations from fundamental value during crises presents a profound anomaly that the EMH struggles to explain. This chasm between theoretical expectation and empirical observation has catalysed the ascendancy of behavioral finance, an interdisciplinary field that synthesizes finance with cognitive psychology </w:t>
      </w:r>
      <w:r w:rsidRPr="0041215D">
        <w:rPr>
          <w:rFonts w:ascii="Times New Roman" w:hAnsi="Times New Roman" w:cs="Times New Roman"/>
          <w:color w:val="1F497D"/>
          <w:sz w:val="20"/>
          <w:szCs w:val="20"/>
        </w:rPr>
        <w:t>to elucidate how systematic psychological biases influence investor decisions and, consequently, market outcomes.</w:t>
      </w:r>
    </w:p>
    <w:p w14:paraId="0E2201B1" w14:textId="77777777" w:rsidR="0041215D" w:rsidRDefault="0041215D" w:rsidP="0041215D">
      <w:pPr>
        <w:spacing w:after="0" w:line="240" w:lineRule="auto"/>
        <w:jc w:val="both"/>
        <w:rPr>
          <w:rFonts w:ascii="Times New Roman" w:hAnsi="Times New Roman" w:cs="Times New Roman"/>
          <w:color w:val="1F497D"/>
          <w:sz w:val="20"/>
          <w:szCs w:val="20"/>
        </w:rPr>
      </w:pPr>
    </w:p>
    <w:p w14:paraId="48BFFEBB" w14:textId="55BEA738" w:rsidR="0041215D" w:rsidRPr="0041215D" w:rsidRDefault="0041215D" w:rsidP="0041215D">
      <w:pPr>
        <w:spacing w:after="0" w:line="240" w:lineRule="auto"/>
        <w:jc w:val="both"/>
        <w:rPr>
          <w:rFonts w:ascii="Times New Roman" w:hAnsi="Times New Roman" w:cs="Times New Roman"/>
          <w:b/>
          <w:bCs/>
          <w:color w:val="1F497D"/>
          <w:sz w:val="20"/>
          <w:szCs w:val="20"/>
        </w:rPr>
      </w:pPr>
      <w:r w:rsidRPr="0041215D">
        <w:rPr>
          <w:rFonts w:ascii="Times New Roman" w:hAnsi="Times New Roman" w:cs="Times New Roman"/>
          <w:b/>
          <w:bCs/>
          <w:color w:val="1F497D"/>
          <w:sz w:val="20"/>
          <w:szCs w:val="20"/>
        </w:rPr>
        <w:t>1.2 Scope and Objectives</w:t>
      </w:r>
    </w:p>
    <w:p w14:paraId="089C3537" w14:textId="77777777" w:rsidR="0041215D" w:rsidRPr="0041215D" w:rsidRDefault="0041215D" w:rsidP="0041215D">
      <w:p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This research paper operates within the domain of behavioral finance, focusing explicitly on its capacity to explain market volatility in acute crisis scenarios. The scope encompasses an analysis of key cognitive biases and heuristics—such as herd behavior, loss aversion, overconfidence, and availability heuristic—as they manifest during periods of systemic stress. The paper will draw upon evidence from defined crises, including the 2008 GFC and the 2020 COVID-19 market crash, to ground theoretical constructs in empirical reality.</w:t>
      </w:r>
    </w:p>
    <w:p w14:paraId="3C111052" w14:textId="77777777" w:rsidR="0041215D" w:rsidRDefault="0041215D" w:rsidP="0041215D">
      <w:pPr>
        <w:spacing w:after="0" w:line="240" w:lineRule="auto"/>
        <w:jc w:val="both"/>
        <w:rPr>
          <w:rFonts w:ascii="Times New Roman" w:hAnsi="Times New Roman" w:cs="Times New Roman"/>
          <w:color w:val="1F497D"/>
          <w:sz w:val="20"/>
          <w:szCs w:val="20"/>
        </w:rPr>
      </w:pPr>
    </w:p>
    <w:p w14:paraId="6BB22258" w14:textId="49A78E76" w:rsidR="0041215D" w:rsidRPr="0041215D" w:rsidRDefault="0041215D" w:rsidP="0041215D">
      <w:pPr>
        <w:spacing w:after="0" w:line="240" w:lineRule="auto"/>
        <w:jc w:val="both"/>
        <w:rPr>
          <w:rFonts w:ascii="Times New Roman" w:hAnsi="Times New Roman" w:cs="Times New Roman"/>
          <w:b/>
          <w:bCs/>
          <w:color w:val="1F497D"/>
          <w:sz w:val="20"/>
          <w:szCs w:val="20"/>
        </w:rPr>
      </w:pPr>
      <w:r w:rsidRPr="0041215D">
        <w:rPr>
          <w:rFonts w:ascii="Times New Roman" w:hAnsi="Times New Roman" w:cs="Times New Roman"/>
          <w:b/>
          <w:bCs/>
          <w:color w:val="1F497D"/>
          <w:sz w:val="20"/>
          <w:szCs w:val="20"/>
        </w:rPr>
        <w:t>The primary objectives of this paper are threefold:</w:t>
      </w:r>
    </w:p>
    <w:p w14:paraId="2BDC7FFB" w14:textId="77777777" w:rsidR="0041215D" w:rsidRPr="0041215D" w:rsidRDefault="0041215D" w:rsidP="0041215D">
      <w:pPr>
        <w:numPr>
          <w:ilvl w:val="0"/>
          <w:numId w:val="197"/>
        </w:num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To critically deconstruct the limitations of the traditional rational agent model in explaining crisis-induced volatility.</w:t>
      </w:r>
    </w:p>
    <w:p w14:paraId="45269D52" w14:textId="77777777" w:rsidR="0041215D" w:rsidRPr="0041215D" w:rsidRDefault="0041215D" w:rsidP="0041215D">
      <w:pPr>
        <w:numPr>
          <w:ilvl w:val="0"/>
          <w:numId w:val="197"/>
        </w:num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lastRenderedPageBreak/>
        <w:t>To systematically delineate the principal behavioral biases that are amplified during crises and explicate their specific mechanisms for driving market instability.</w:t>
      </w:r>
    </w:p>
    <w:p w14:paraId="756E2429" w14:textId="77777777" w:rsidR="0041215D" w:rsidRPr="0041215D" w:rsidRDefault="0041215D" w:rsidP="0041215D">
      <w:pPr>
        <w:numPr>
          <w:ilvl w:val="0"/>
          <w:numId w:val="197"/>
        </w:num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To synthesize existing empirical evidence and theoretical models to construct a coherent behavioral framework for interpreting and anticipating market dynamics in future crisis scenarios.</w:t>
      </w:r>
    </w:p>
    <w:p w14:paraId="602CDEFA" w14:textId="77777777" w:rsidR="0041215D" w:rsidRDefault="0041215D" w:rsidP="0041215D">
      <w:pPr>
        <w:spacing w:after="0" w:line="240" w:lineRule="auto"/>
        <w:jc w:val="both"/>
        <w:rPr>
          <w:rFonts w:ascii="Times New Roman" w:hAnsi="Times New Roman" w:cs="Times New Roman"/>
          <w:color w:val="1F497D"/>
          <w:sz w:val="20"/>
          <w:szCs w:val="20"/>
        </w:rPr>
      </w:pPr>
    </w:p>
    <w:p w14:paraId="1D6E1CC7" w14:textId="75ABF041" w:rsidR="0041215D" w:rsidRPr="0041215D" w:rsidRDefault="0041215D" w:rsidP="0041215D">
      <w:pPr>
        <w:spacing w:after="0" w:line="240" w:lineRule="auto"/>
        <w:jc w:val="both"/>
        <w:rPr>
          <w:rFonts w:ascii="Times New Roman" w:hAnsi="Times New Roman" w:cs="Times New Roman"/>
          <w:b/>
          <w:bCs/>
          <w:color w:val="1F497D"/>
          <w:sz w:val="20"/>
          <w:szCs w:val="20"/>
        </w:rPr>
      </w:pPr>
      <w:r w:rsidRPr="0041215D">
        <w:rPr>
          <w:rFonts w:ascii="Times New Roman" w:hAnsi="Times New Roman" w:cs="Times New Roman"/>
          <w:b/>
          <w:bCs/>
          <w:color w:val="1F497D"/>
          <w:sz w:val="20"/>
          <w:szCs w:val="20"/>
        </w:rPr>
        <w:t>1.3 Author Motivations</w:t>
      </w:r>
    </w:p>
    <w:p w14:paraId="2452B6B7" w14:textId="77777777" w:rsidR="0041215D" w:rsidRPr="0041215D" w:rsidRDefault="0041215D" w:rsidP="0041215D">
      <w:p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The motivation for this research stems from the critical need to enhance the resilience of financial systems and the decision-making efficacy of market participants. Purely quantitative, neo-classical models have repeatedly proven inadequate in forecasting or containing financial contagion. By integrating the human element—the psychological underpinnings of fear, greed, and social influence—into financial analysis, we can develop a more robust and realistic understanding of market mechanics. This paper is motivated by the conviction that acknowledging and modeling irrationality is not a departure from scientific rigor but a necessary step towards a more complete financial science, one that can better inform risk management practices, regulatory policy, and investment strategies.</w:t>
      </w:r>
    </w:p>
    <w:p w14:paraId="3E2A8C7E" w14:textId="77777777" w:rsidR="0041215D" w:rsidRDefault="0041215D" w:rsidP="0041215D">
      <w:pPr>
        <w:spacing w:after="0" w:line="240" w:lineRule="auto"/>
        <w:jc w:val="both"/>
        <w:rPr>
          <w:rFonts w:ascii="Times New Roman" w:hAnsi="Times New Roman" w:cs="Times New Roman"/>
          <w:color w:val="1F497D"/>
          <w:sz w:val="20"/>
          <w:szCs w:val="20"/>
        </w:rPr>
      </w:pPr>
    </w:p>
    <w:p w14:paraId="14385BB5" w14:textId="34731648" w:rsidR="0041215D" w:rsidRPr="0041215D" w:rsidRDefault="0041215D" w:rsidP="0041215D">
      <w:pPr>
        <w:spacing w:after="0" w:line="240" w:lineRule="auto"/>
        <w:jc w:val="both"/>
        <w:rPr>
          <w:rFonts w:ascii="Times New Roman" w:hAnsi="Times New Roman" w:cs="Times New Roman"/>
          <w:b/>
          <w:bCs/>
          <w:color w:val="1F497D"/>
          <w:sz w:val="20"/>
          <w:szCs w:val="20"/>
        </w:rPr>
      </w:pPr>
      <w:r w:rsidRPr="0041215D">
        <w:rPr>
          <w:rFonts w:ascii="Times New Roman" w:hAnsi="Times New Roman" w:cs="Times New Roman"/>
          <w:b/>
          <w:bCs/>
          <w:color w:val="1F497D"/>
          <w:sz w:val="20"/>
          <w:szCs w:val="20"/>
        </w:rPr>
        <w:t>1.4 Paper Structure</w:t>
      </w:r>
    </w:p>
    <w:p w14:paraId="5122DE55" w14:textId="77777777" w:rsidR="0041215D" w:rsidRPr="0041215D" w:rsidRDefault="0041215D" w:rsidP="0041215D">
      <w:p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Following this introduction, the paper is organized as follows. Section 2 provides a comprehensive literature review, tracing the evolution from traditional finance to behavioral finance, and identifies the specific research gap this paper addresses. Section 3 establishes the theoretical framework, detailing the key behavioral biases relevant to crisis volatility. Section 4 presents case studies analyzing the role of these biases in historical crises. Section 5 discusses the implications of these findings for market participants, regulators, and financial modelers. Finally, Section 6 concludes by summarizing the core arguments and proposing directions for future research. This structure is designed to build a logically coherent argument for the indispensability of behavioral finance in understanding and navigating financial turmoil.</w:t>
      </w:r>
    </w:p>
    <w:p w14:paraId="6B2FFC24" w14:textId="77777777" w:rsidR="0041215D" w:rsidRDefault="0041215D" w:rsidP="0041215D">
      <w:pPr>
        <w:spacing w:after="0" w:line="240" w:lineRule="auto"/>
        <w:jc w:val="both"/>
        <w:rPr>
          <w:rFonts w:ascii="Times New Roman" w:hAnsi="Times New Roman" w:cs="Times New Roman"/>
          <w:color w:val="1F497D"/>
          <w:sz w:val="20"/>
          <w:szCs w:val="20"/>
        </w:rPr>
      </w:pPr>
    </w:p>
    <w:p w14:paraId="41B849D5" w14:textId="43F63A7E" w:rsidR="0041215D" w:rsidRPr="0041215D" w:rsidRDefault="0041215D" w:rsidP="0041215D">
      <w:pPr>
        <w:spacing w:after="0" w:line="240" w:lineRule="auto"/>
        <w:jc w:val="both"/>
        <w:rPr>
          <w:rFonts w:ascii="Times New Roman" w:hAnsi="Times New Roman" w:cs="Times New Roman"/>
          <w:b/>
          <w:bCs/>
          <w:color w:val="1F497D"/>
          <w:sz w:val="20"/>
          <w:szCs w:val="20"/>
        </w:rPr>
      </w:pPr>
      <w:r w:rsidRPr="0041215D">
        <w:rPr>
          <w:rFonts w:ascii="Times New Roman" w:hAnsi="Times New Roman" w:cs="Times New Roman"/>
          <w:b/>
          <w:bCs/>
          <w:color w:val="1F497D"/>
          <w:sz w:val="20"/>
          <w:szCs w:val="20"/>
        </w:rPr>
        <w:t>LITERATURE REVIEW</w:t>
      </w:r>
    </w:p>
    <w:p w14:paraId="55F539E2" w14:textId="77777777" w:rsidR="0041215D" w:rsidRDefault="0041215D" w:rsidP="0041215D">
      <w:p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The scholarly pursuit of understanding market volatility is bifurcated into two dominant paradigms: the traditional finance perspective, which posits a world of rational actors and efficient markets, and the behavioral finance perspective, which incorporates psychological realism to explain observable market anomalies. This review synthesizes the key literature from both schools of thought, culminating in the identification of a critical research gap.</w:t>
      </w:r>
    </w:p>
    <w:p w14:paraId="154E0053" w14:textId="77777777" w:rsidR="0041215D" w:rsidRPr="0041215D" w:rsidRDefault="0041215D" w:rsidP="0041215D">
      <w:pPr>
        <w:spacing w:after="0" w:line="240" w:lineRule="auto"/>
        <w:jc w:val="both"/>
        <w:rPr>
          <w:rFonts w:ascii="Times New Roman" w:hAnsi="Times New Roman" w:cs="Times New Roman"/>
          <w:color w:val="1F497D"/>
          <w:sz w:val="20"/>
          <w:szCs w:val="20"/>
        </w:rPr>
      </w:pPr>
    </w:p>
    <w:p w14:paraId="3BBA7436" w14:textId="77777777" w:rsidR="0041215D" w:rsidRPr="0041215D" w:rsidRDefault="0041215D" w:rsidP="0041215D">
      <w:pPr>
        <w:spacing w:after="0" w:line="240" w:lineRule="auto"/>
        <w:jc w:val="both"/>
        <w:rPr>
          <w:rFonts w:ascii="Times New Roman" w:hAnsi="Times New Roman" w:cs="Times New Roman"/>
          <w:b/>
          <w:bCs/>
          <w:color w:val="1F497D"/>
          <w:sz w:val="20"/>
          <w:szCs w:val="20"/>
        </w:rPr>
      </w:pPr>
      <w:r w:rsidRPr="0041215D">
        <w:rPr>
          <w:rFonts w:ascii="Times New Roman" w:hAnsi="Times New Roman" w:cs="Times New Roman"/>
          <w:b/>
          <w:bCs/>
          <w:color w:val="1F497D"/>
          <w:sz w:val="20"/>
          <w:szCs w:val="20"/>
        </w:rPr>
        <w:t>2.1 The Traditional Finance Paradigm and Its Shortcomings</w:t>
      </w:r>
    </w:p>
    <w:p w14:paraId="7B08FEAD" w14:textId="77777777" w:rsidR="0041215D" w:rsidRDefault="0041215D" w:rsidP="0041215D">
      <w:p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 xml:space="preserve">The foundation of traditional finance was laid by the seminal work of [18], who formalized the Efficient Market Hypothesis (EMH). The EMH asserts that financial markets are "informationally efficient," </w:t>
      </w:r>
      <w:r w:rsidRPr="0041215D">
        <w:rPr>
          <w:rFonts w:ascii="Times New Roman" w:hAnsi="Times New Roman" w:cs="Times New Roman"/>
          <w:color w:val="1F497D"/>
          <w:sz w:val="20"/>
          <w:szCs w:val="20"/>
        </w:rPr>
        <w:t>meaning asset prices fully reflect all available information. Under this paradigm, investors are rational expected-utility maximizers, and any new information is immediately and rationally incorporated into prices, making it impossible to consistently achieve abnormal returns. This view was further reinforced by the development of models like the Capital Asset Pricing Model (CAPM), which abstracted investor behavior into a single, rational risk-return trade-off.</w:t>
      </w:r>
    </w:p>
    <w:p w14:paraId="7F7180C0" w14:textId="77777777" w:rsidR="0041215D" w:rsidRPr="0041215D" w:rsidRDefault="0041215D" w:rsidP="0041215D">
      <w:pPr>
        <w:spacing w:after="0" w:line="240" w:lineRule="auto"/>
        <w:jc w:val="both"/>
        <w:rPr>
          <w:rFonts w:ascii="Times New Roman" w:hAnsi="Times New Roman" w:cs="Times New Roman"/>
          <w:color w:val="1F497D"/>
          <w:sz w:val="20"/>
          <w:szCs w:val="20"/>
        </w:rPr>
      </w:pPr>
    </w:p>
    <w:p w14:paraId="231F227E" w14:textId="77777777" w:rsidR="0041215D" w:rsidRDefault="0041215D" w:rsidP="0041215D">
      <w:p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However, the empirical record of financial crises has served as a persistent and powerful counter-argument to this paradigm. The 1987 stock market crash, the dot-com bubble, and particularly the 2008 GFC demonstrated that markets could experience violent dislocations that were disproportionate to fundamental news. As [13] notes, events like "flash crashes" are nearly impossible to reconcile with a model of continuous rational equilibrium. The work of [8] presents the "Inelastic Markets Hypothesis," which directly challenges the EMH by suggesting that flows into and out of the market can cause significant price movements without a corresponding change in fundamental information, a phenomenon acutely visible during crisis-driven redemption cycles.</w:t>
      </w:r>
    </w:p>
    <w:p w14:paraId="0844F2E0" w14:textId="77777777" w:rsidR="0041215D" w:rsidRPr="0041215D" w:rsidRDefault="0041215D" w:rsidP="0041215D">
      <w:pPr>
        <w:spacing w:after="0" w:line="240" w:lineRule="auto"/>
        <w:jc w:val="both"/>
        <w:rPr>
          <w:rFonts w:ascii="Times New Roman" w:hAnsi="Times New Roman" w:cs="Times New Roman"/>
          <w:color w:val="1F497D"/>
          <w:sz w:val="20"/>
          <w:szCs w:val="20"/>
        </w:rPr>
      </w:pPr>
    </w:p>
    <w:p w14:paraId="7C7B081F" w14:textId="77777777" w:rsidR="0041215D" w:rsidRPr="0041215D" w:rsidRDefault="0041215D" w:rsidP="0041215D">
      <w:pPr>
        <w:spacing w:after="0" w:line="240" w:lineRule="auto"/>
        <w:jc w:val="both"/>
        <w:rPr>
          <w:rFonts w:ascii="Times New Roman" w:hAnsi="Times New Roman" w:cs="Times New Roman"/>
          <w:b/>
          <w:bCs/>
          <w:color w:val="1F497D"/>
          <w:sz w:val="20"/>
          <w:szCs w:val="20"/>
        </w:rPr>
      </w:pPr>
      <w:r w:rsidRPr="0041215D">
        <w:rPr>
          <w:rFonts w:ascii="Times New Roman" w:hAnsi="Times New Roman" w:cs="Times New Roman"/>
          <w:b/>
          <w:bCs/>
          <w:color w:val="1F497D"/>
          <w:sz w:val="20"/>
          <w:szCs w:val="20"/>
        </w:rPr>
        <w:t>2.2 The Rise of Behavioral Finance</w:t>
      </w:r>
    </w:p>
    <w:p w14:paraId="16F390FD" w14:textId="77777777" w:rsidR="0041215D" w:rsidRDefault="0041215D" w:rsidP="0041215D">
      <w:p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Behavioral finance emerged as a corrective to the empirical failures of the EMH. Its intellectual origins lie in the work of [17], whose Prospect Theory provided the first robust psychological alternative to expected utility theory. Prospect Theory introduced key concepts such as loss aversion (the pain of a loss is psychologically more potent than the pleasure of an equivalent gain) and reference dependence, which directly explain why investors might hold onto losing positions too long and sell winning positions too early—behaviors that amplify volatility.</w:t>
      </w:r>
    </w:p>
    <w:p w14:paraId="4A61E411" w14:textId="77777777" w:rsidR="0041215D" w:rsidRPr="0041215D" w:rsidRDefault="0041215D" w:rsidP="0041215D">
      <w:pPr>
        <w:spacing w:after="0" w:line="240" w:lineRule="auto"/>
        <w:jc w:val="both"/>
        <w:rPr>
          <w:rFonts w:ascii="Times New Roman" w:hAnsi="Times New Roman" w:cs="Times New Roman"/>
          <w:color w:val="1F497D"/>
          <w:sz w:val="20"/>
          <w:szCs w:val="20"/>
        </w:rPr>
      </w:pPr>
    </w:p>
    <w:p w14:paraId="190DF9FA" w14:textId="77777777" w:rsidR="0041215D" w:rsidRDefault="0041215D" w:rsidP="0041215D">
      <w:p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Building on this, [16] demonstrated how "myopic loss aversion" could explain the equity premium puzzle, showing that if investors evaluate their portfolios too frequently, their heightened sensitivity to losses leads them to demand a higher risk premium. The field was synthesized and popularized by scholars like [7], who catalogued a range of cognitive biases—overconfidence, confirmation bias, and representativeness—that lead to systematic errors in judgment under uncertainty. More recently, [6] has explored "extrapolation," where investors expect recent trends to continue indefinitely, a bias that fuels both speculative bubbles and subsequent crashes.</w:t>
      </w:r>
    </w:p>
    <w:p w14:paraId="028ECAE5" w14:textId="77777777" w:rsidR="0041215D" w:rsidRPr="0041215D" w:rsidRDefault="0041215D" w:rsidP="0041215D">
      <w:pPr>
        <w:spacing w:after="0" w:line="240" w:lineRule="auto"/>
        <w:jc w:val="both"/>
        <w:rPr>
          <w:rFonts w:ascii="Times New Roman" w:hAnsi="Times New Roman" w:cs="Times New Roman"/>
          <w:color w:val="1F497D"/>
          <w:sz w:val="20"/>
          <w:szCs w:val="20"/>
        </w:rPr>
      </w:pPr>
    </w:p>
    <w:p w14:paraId="483BAAE9" w14:textId="77777777" w:rsidR="0041215D" w:rsidRPr="0041215D" w:rsidRDefault="0041215D" w:rsidP="0041215D">
      <w:pPr>
        <w:spacing w:after="0" w:line="240" w:lineRule="auto"/>
        <w:jc w:val="both"/>
        <w:rPr>
          <w:rFonts w:ascii="Times New Roman" w:hAnsi="Times New Roman" w:cs="Times New Roman"/>
          <w:b/>
          <w:bCs/>
          <w:color w:val="1F497D"/>
          <w:sz w:val="20"/>
          <w:szCs w:val="20"/>
        </w:rPr>
      </w:pPr>
      <w:r w:rsidRPr="0041215D">
        <w:rPr>
          <w:rFonts w:ascii="Times New Roman" w:hAnsi="Times New Roman" w:cs="Times New Roman"/>
          <w:b/>
          <w:bCs/>
          <w:color w:val="1F497D"/>
          <w:sz w:val="20"/>
          <w:szCs w:val="20"/>
        </w:rPr>
        <w:t>2.3 Behavioral Finance in Crisis Scenarios</w:t>
      </w:r>
    </w:p>
    <w:p w14:paraId="3418843D" w14:textId="77777777" w:rsidR="0041215D" w:rsidRPr="0041215D" w:rsidRDefault="0041215D" w:rsidP="0041215D">
      <w:p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A growing body of literature applies these behavioral lenses specifically to crisis periods. The COVID-19 pandemic provided a natural experiment for studying investor psychology under extreme uncertainty. [11] developed measures of "unprecedented uncertainty," showing how this sentiment directly correlated with market sell-offs. Similarly, [10] created a novel index of investor uncertainty, finding it to be a significant driver of volatility, distinct from fundamental economic news.</w:t>
      </w:r>
    </w:p>
    <w:p w14:paraId="2B95D89A" w14:textId="77777777" w:rsidR="0041215D" w:rsidRDefault="0041215D" w:rsidP="0041215D">
      <w:p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lastRenderedPageBreak/>
        <w:t>The role of social dynamics and modern technology in amplifying biases has become a critical area of research. [1] directly link "social media narratives" to the amplification of financial panic, demonstrating how digital platforms can accelerate herding behavior beyond the capacity of traditional media. This is complemented by the work of [15] on the GameStop short squeeze, which they frame as a phenomenon driven by collective, attention-based retail investor action, facilitated by digital forums. [14] further explores how "fintech apps" and their user-interface designs can nudge retail investor behavior, often exacerbating impulsive trading during volatile periods.</w:t>
      </w:r>
    </w:p>
    <w:p w14:paraId="1828AA46" w14:textId="77777777" w:rsidR="0041215D" w:rsidRPr="0041215D" w:rsidRDefault="0041215D" w:rsidP="0041215D">
      <w:pPr>
        <w:spacing w:after="0" w:line="240" w:lineRule="auto"/>
        <w:jc w:val="both"/>
        <w:rPr>
          <w:rFonts w:ascii="Times New Roman" w:hAnsi="Times New Roman" w:cs="Times New Roman"/>
          <w:color w:val="1F497D"/>
          <w:sz w:val="20"/>
          <w:szCs w:val="20"/>
        </w:rPr>
      </w:pPr>
    </w:p>
    <w:p w14:paraId="2EA34784" w14:textId="77777777" w:rsidR="0041215D" w:rsidRPr="0041215D" w:rsidRDefault="0041215D" w:rsidP="0041215D">
      <w:p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The structural aspects of the market are also influenced by behavior. [3] provide a meticulous analysis of how "herding" and "flight-to-liquidity" behaviors among investors in corporate bond funds created profound fragility during the COVID-19 crisis, forcing fund managers to sell assets and transmit shocks across markets. From a broader perspective, [2]'s Adaptive Markets Hypothesis offers a reconciliatory framework, suggesting that the degree of market efficiency evolves, and during crises, the instinctual, heuristic-driven behaviors of investors dominate over rational calculation, leading to periods of extreme inefficiency and volatility.</w:t>
      </w:r>
    </w:p>
    <w:p w14:paraId="38D4ECD0" w14:textId="77777777" w:rsidR="0041215D" w:rsidRDefault="0041215D" w:rsidP="0041215D">
      <w:pPr>
        <w:spacing w:after="0" w:line="240" w:lineRule="auto"/>
        <w:jc w:val="both"/>
        <w:rPr>
          <w:rFonts w:ascii="Times New Roman" w:hAnsi="Times New Roman" w:cs="Times New Roman"/>
          <w:color w:val="1F497D"/>
          <w:sz w:val="20"/>
          <w:szCs w:val="20"/>
        </w:rPr>
      </w:pPr>
    </w:p>
    <w:p w14:paraId="48FB55F0" w14:textId="6B18FDFE" w:rsidR="0041215D" w:rsidRPr="0041215D" w:rsidRDefault="0041215D" w:rsidP="0041215D">
      <w:pPr>
        <w:spacing w:after="0" w:line="240" w:lineRule="auto"/>
        <w:jc w:val="both"/>
        <w:rPr>
          <w:rFonts w:ascii="Times New Roman" w:hAnsi="Times New Roman" w:cs="Times New Roman"/>
          <w:b/>
          <w:bCs/>
          <w:color w:val="1F497D"/>
          <w:sz w:val="20"/>
          <w:szCs w:val="20"/>
        </w:rPr>
      </w:pPr>
      <w:r w:rsidRPr="0041215D">
        <w:rPr>
          <w:rFonts w:ascii="Times New Roman" w:hAnsi="Times New Roman" w:cs="Times New Roman"/>
          <w:b/>
          <w:bCs/>
          <w:color w:val="1F497D"/>
          <w:sz w:val="20"/>
          <w:szCs w:val="20"/>
        </w:rPr>
        <w:t>2.4 Research Gap</w:t>
      </w:r>
    </w:p>
    <w:p w14:paraId="6D1CC0DC" w14:textId="77777777" w:rsidR="0041215D" w:rsidRPr="0041215D" w:rsidRDefault="0041215D" w:rsidP="0041215D">
      <w:p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 xml:space="preserve">While the existing literature robustly establishes the relevance of behavioral finance and identifies specific biases at play in market settings, a nuanced gap remains. Many studies focus on a single bias, a specific asset class, or a particular crisis in isolation. There is a need for a synthesized and systematic framework that explicitly maps the interplay of multiple, amplified behavioral biases—ranging from individual heuristics (loss aversion) to collective social dynamics (digital herding)—onto the specific amplification mechanisms of market volatility during a crisis. Furthermore, while the role of technology is acknowledged, its function as a systemic amplifier of pre-existing behavioral biases in a crisis context, transforming localized panic into globalized contagion at unprecedented speed, requires further theoretical consolidation. This paper aims to fill this gap by constructing an integrated behavioral framework that delineates how the confluence of cognitive biases and </w:t>
      </w:r>
      <w:r w:rsidRPr="0041215D">
        <w:rPr>
          <w:rFonts w:ascii="Times New Roman" w:hAnsi="Times New Roman" w:cs="Times New Roman"/>
          <w:color w:val="1F497D"/>
          <w:sz w:val="20"/>
          <w:szCs w:val="20"/>
        </w:rPr>
        <w:t>modern information networks drives the unique volatility patterns observed in 21st-century financial crises.</w:t>
      </w:r>
    </w:p>
    <w:p w14:paraId="2E680680" w14:textId="77777777" w:rsidR="0041215D" w:rsidRDefault="0041215D" w:rsidP="0041215D">
      <w:pPr>
        <w:pStyle w:val="Heading3"/>
        <w:spacing w:line="240" w:lineRule="auto"/>
        <w:jc w:val="both"/>
        <w:rPr>
          <w:rFonts w:ascii="Times New Roman" w:eastAsiaTheme="minorHAnsi" w:hAnsi="Times New Roman" w:cs="Times New Roman"/>
          <w:color w:val="1F497D"/>
          <w:sz w:val="20"/>
          <w:szCs w:val="20"/>
        </w:rPr>
      </w:pPr>
      <w:bookmarkStart w:id="0" w:name="Xf83e75aa3df50f586e51ea6246a7572e7794b4f"/>
    </w:p>
    <w:p w14:paraId="031FAE9D" w14:textId="393E8458" w:rsidR="0041215D" w:rsidRPr="0041215D" w:rsidRDefault="0041215D" w:rsidP="0041215D">
      <w:pPr>
        <w:pStyle w:val="Heading3"/>
        <w:spacing w:line="240" w:lineRule="auto"/>
        <w:jc w:val="both"/>
        <w:rPr>
          <w:rFonts w:ascii="Times New Roman" w:eastAsiaTheme="minorHAnsi" w:hAnsi="Times New Roman" w:cs="Times New Roman"/>
          <w:b/>
          <w:bCs/>
          <w:color w:val="1F497D"/>
          <w:sz w:val="20"/>
          <w:szCs w:val="20"/>
        </w:rPr>
      </w:pPr>
      <w:r w:rsidRPr="0041215D">
        <w:rPr>
          <w:rFonts w:ascii="Times New Roman" w:eastAsiaTheme="minorHAnsi" w:hAnsi="Times New Roman" w:cs="Times New Roman"/>
          <w:b/>
          <w:bCs/>
          <w:color w:val="1F497D"/>
          <w:sz w:val="20"/>
          <w:szCs w:val="20"/>
        </w:rPr>
        <w:t>3. Theoretical Framework: Mathematical Modeling of Behavioral Biases in Crises</w:t>
      </w:r>
    </w:p>
    <w:p w14:paraId="717A65B8" w14:textId="77777777" w:rsidR="0041215D" w:rsidRPr="0041215D" w:rsidRDefault="0041215D" w:rsidP="0041215D">
      <w:p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This section formalizes the key behavioral concepts discussed previously into a mathematical framework. The objective is to move beyond qualitative description and provide testable, quantitative representations of how psychological biases distort investor decision-making and asset pricing during periods of crisis.</w:t>
      </w:r>
    </w:p>
    <w:p w14:paraId="6C35A2B7" w14:textId="77777777" w:rsidR="0041215D" w:rsidRDefault="0041215D" w:rsidP="0041215D">
      <w:pPr>
        <w:pStyle w:val="BodyText"/>
        <w:jc w:val="both"/>
        <w:rPr>
          <w:rFonts w:eastAsiaTheme="minorHAnsi"/>
          <w:color w:val="1F497D"/>
          <w:sz w:val="20"/>
          <w:szCs w:val="20"/>
          <w:lang w:val="en-IN"/>
        </w:rPr>
      </w:pPr>
    </w:p>
    <w:p w14:paraId="7F9D35E2" w14:textId="67CE30DE" w:rsidR="0041215D" w:rsidRPr="0041215D" w:rsidRDefault="0041215D" w:rsidP="0041215D">
      <w:pPr>
        <w:pStyle w:val="BodyText"/>
        <w:jc w:val="both"/>
        <w:rPr>
          <w:rFonts w:eastAsiaTheme="minorHAnsi"/>
          <w:b/>
          <w:bCs/>
          <w:color w:val="1F497D"/>
          <w:sz w:val="20"/>
          <w:szCs w:val="20"/>
          <w:lang w:val="en-IN"/>
        </w:rPr>
      </w:pPr>
      <w:r w:rsidRPr="0041215D">
        <w:rPr>
          <w:rFonts w:eastAsiaTheme="minorHAnsi"/>
          <w:b/>
          <w:bCs/>
          <w:color w:val="1F497D"/>
          <w:sz w:val="20"/>
          <w:szCs w:val="20"/>
          <w:lang w:val="en-IN"/>
        </w:rPr>
        <w:t>3.1 Prospect Theory and Loss Aversion</w:t>
      </w:r>
    </w:p>
    <w:p w14:paraId="4D29218D" w14:textId="77777777" w:rsidR="0041215D" w:rsidRPr="0041215D" w:rsidRDefault="0041215D" w:rsidP="0041215D">
      <w:pPr>
        <w:pStyle w:val="BodyText"/>
        <w:jc w:val="both"/>
        <w:rPr>
          <w:rFonts w:eastAsiaTheme="minorHAnsi"/>
          <w:color w:val="1F497D"/>
          <w:sz w:val="20"/>
          <w:szCs w:val="20"/>
          <w:lang w:val="en-IN"/>
        </w:rPr>
      </w:pPr>
      <w:r w:rsidRPr="0041215D">
        <w:rPr>
          <w:rFonts w:eastAsiaTheme="minorHAnsi"/>
          <w:color w:val="1F497D"/>
          <w:sz w:val="20"/>
          <w:szCs w:val="20"/>
          <w:lang w:val="en-IN"/>
        </w:rPr>
        <w:t xml:space="preserve">The foundation of our model is Prospect Theory [17]. We define an investor's utility, </w:t>
      </w:r>
      <m:oMath>
        <m:r>
          <w:rPr>
            <w:rFonts w:ascii="Cambria Math" w:eastAsiaTheme="minorHAnsi" w:hAnsi="Cambria Math"/>
            <w:color w:val="1F497D"/>
            <w:sz w:val="20"/>
            <w:szCs w:val="20"/>
            <w:lang w:val="en-IN"/>
          </w:rPr>
          <m:t>U</m:t>
        </m:r>
      </m:oMath>
      <w:r w:rsidRPr="0041215D">
        <w:rPr>
          <w:rFonts w:eastAsiaTheme="minorHAnsi"/>
          <w:color w:val="1F497D"/>
          <w:sz w:val="20"/>
          <w:szCs w:val="20"/>
          <w:lang w:val="en-IN"/>
        </w:rPr>
        <w:t xml:space="preserve">, not over final wealth, but over gains and losses relative to a reference point, </w:t>
      </w:r>
      <m:oMath>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W</m:t>
            </m:r>
          </m:e>
          <m:sub>
            <m:r>
              <m:rPr>
                <m:sty m:val="p"/>
              </m:rPr>
              <w:rPr>
                <w:rFonts w:ascii="Cambria Math" w:eastAsiaTheme="minorHAnsi" w:hAnsi="Cambria Math"/>
                <w:color w:val="1F497D"/>
                <w:sz w:val="20"/>
                <w:szCs w:val="20"/>
                <w:lang w:val="en-IN"/>
              </w:rPr>
              <m:t>0</m:t>
            </m:r>
          </m:sub>
        </m:sSub>
      </m:oMath>
      <w:r w:rsidRPr="0041215D">
        <w:rPr>
          <w:rFonts w:eastAsiaTheme="minorHAnsi"/>
          <w:color w:val="1F497D"/>
          <w:sz w:val="20"/>
          <w:szCs w:val="20"/>
          <w:lang w:val="en-IN"/>
        </w:rPr>
        <w:t>. The value function is S-shaped: concave for gains and convex for losses, with a steeper slope for losses. This is formalized as:</w:t>
      </w:r>
    </w:p>
    <w:p w14:paraId="3DF90134" w14:textId="77777777" w:rsidR="0041215D" w:rsidRPr="0041215D" w:rsidRDefault="0041215D" w:rsidP="0041215D">
      <w:pPr>
        <w:pStyle w:val="BodyText"/>
        <w:jc w:val="both"/>
        <w:rPr>
          <w:rFonts w:eastAsiaTheme="minorHAnsi"/>
          <w:color w:val="1F497D"/>
          <w:sz w:val="20"/>
          <w:szCs w:val="20"/>
          <w:lang w:val="en-IN"/>
        </w:rPr>
      </w:pPr>
      <m:oMathPara>
        <m:oMathParaPr>
          <m:jc m:val="center"/>
        </m:oMathParaPr>
        <m:oMath>
          <m:r>
            <w:rPr>
              <w:rFonts w:ascii="Cambria Math" w:eastAsiaTheme="minorHAnsi" w:hAnsi="Cambria Math"/>
              <w:color w:val="1F497D"/>
              <w:sz w:val="20"/>
              <w:szCs w:val="20"/>
              <w:lang w:val="en-IN"/>
            </w:rPr>
            <m:t>U</m:t>
          </m:r>
          <m:r>
            <m:rPr>
              <m:sty m:val="p"/>
            </m:rPr>
            <w:rPr>
              <w:rFonts w:ascii="Cambria Math" w:eastAsiaTheme="minorHAnsi" w:hAnsi="Cambria Math"/>
              <w:color w:val="1F497D"/>
              <w:sz w:val="20"/>
              <w:szCs w:val="20"/>
              <w:lang w:val="en-IN"/>
            </w:rPr>
            <m:t>(Δ</m:t>
          </m:r>
          <m:r>
            <w:rPr>
              <w:rFonts w:ascii="Cambria Math" w:eastAsiaTheme="minorHAnsi" w:hAnsi="Cambria Math"/>
              <w:color w:val="1F497D"/>
              <w:sz w:val="20"/>
              <w:szCs w:val="20"/>
              <w:lang w:val="en-IN"/>
            </w:rPr>
            <m:t>W</m:t>
          </m:r>
          <m:r>
            <m:rPr>
              <m:sty m:val="p"/>
            </m:rPr>
            <w:rPr>
              <w:rFonts w:ascii="Cambria Math" w:eastAsiaTheme="minorHAnsi" w:hAnsi="Cambria Math"/>
              <w:color w:val="1F497D"/>
              <w:sz w:val="20"/>
              <w:szCs w:val="20"/>
              <w:lang w:val="en-IN"/>
            </w:rPr>
            <m:t>)=</m:t>
          </m:r>
          <m:d>
            <m:dPr>
              <m:begChr m:val="{"/>
              <m:endChr m:val=""/>
              <m:ctrlPr>
                <w:rPr>
                  <w:rFonts w:ascii="Cambria Math" w:eastAsiaTheme="minorHAnsi" w:hAnsi="Cambria Math"/>
                  <w:color w:val="1F497D"/>
                  <w:sz w:val="20"/>
                  <w:szCs w:val="20"/>
                  <w:lang w:val="en-IN"/>
                </w:rPr>
              </m:ctrlPr>
            </m:dPr>
            <m:e>
              <m:m>
                <m:mPr>
                  <m:plcHide m:val="1"/>
                  <m:mcs>
                    <m:mc>
                      <m:mcPr>
                        <m:count m:val="2"/>
                        <m:mcJc m:val="left"/>
                      </m:mcPr>
                    </m:mc>
                  </m:mcs>
                  <m:ctrlPr>
                    <w:rPr>
                      <w:rFonts w:ascii="Cambria Math" w:eastAsiaTheme="minorHAnsi" w:hAnsi="Cambria Math"/>
                      <w:color w:val="1F497D"/>
                      <w:sz w:val="20"/>
                      <w:szCs w:val="20"/>
                      <w:lang w:val="en-IN"/>
                    </w:rPr>
                  </m:ctrlPr>
                </m:mPr>
                <m:mr>
                  <m:e>
                    <m:r>
                      <m:rPr>
                        <m:sty m:val="p"/>
                      </m:rPr>
                      <w:rPr>
                        <w:rFonts w:ascii="Cambria Math" w:eastAsiaTheme="minorHAnsi" w:hAnsi="Cambria Math"/>
                        <w:color w:val="1F497D"/>
                        <w:sz w:val="20"/>
                        <w:szCs w:val="20"/>
                        <w:lang w:val="en-IN"/>
                      </w:rPr>
                      <m:t>(Δ</m:t>
                    </m:r>
                    <m:r>
                      <w:rPr>
                        <w:rFonts w:ascii="Cambria Math" w:eastAsiaTheme="minorHAnsi" w:hAnsi="Cambria Math"/>
                        <w:color w:val="1F497D"/>
                        <w:sz w:val="20"/>
                        <w:szCs w:val="20"/>
                        <w:lang w:val="en-IN"/>
                      </w:rPr>
                      <m:t>W</m:t>
                    </m:r>
                    <m:sSup>
                      <m:sSupPr>
                        <m:ctrlPr>
                          <w:rPr>
                            <w:rFonts w:ascii="Cambria Math" w:eastAsiaTheme="minorHAnsi" w:hAnsi="Cambria Math"/>
                            <w:color w:val="1F497D"/>
                            <w:sz w:val="20"/>
                            <w:szCs w:val="20"/>
                            <w:lang w:val="en-IN"/>
                          </w:rPr>
                        </m:ctrlPr>
                      </m:sSupPr>
                      <m:e>
                        <m:r>
                          <m:rPr>
                            <m:sty m:val="p"/>
                          </m:rPr>
                          <w:rPr>
                            <w:rFonts w:ascii="Cambria Math" w:eastAsiaTheme="minorHAnsi" w:hAnsi="Cambria Math"/>
                            <w:color w:val="1F497D"/>
                            <w:sz w:val="20"/>
                            <w:szCs w:val="20"/>
                            <w:lang w:val="en-IN"/>
                          </w:rPr>
                          <m:t>)</m:t>
                        </m:r>
                      </m:e>
                      <m:sup>
                        <m:r>
                          <w:rPr>
                            <w:rFonts w:ascii="Cambria Math" w:eastAsiaTheme="minorHAnsi" w:hAnsi="Cambria Math"/>
                            <w:color w:val="1F497D"/>
                            <w:sz w:val="20"/>
                            <w:szCs w:val="20"/>
                            <w:lang w:val="en-IN"/>
                          </w:rPr>
                          <m:t>α</m:t>
                        </m:r>
                      </m:sup>
                    </m:sSup>
                  </m:e>
                  <m:e>
                    <m:r>
                      <m:rPr>
                        <m:nor/>
                      </m:rPr>
                      <w:rPr>
                        <w:rFonts w:eastAsiaTheme="minorHAnsi"/>
                        <w:color w:val="1F497D"/>
                        <w:sz w:val="20"/>
                        <w:szCs w:val="20"/>
                        <w:lang w:val="en-IN"/>
                      </w:rPr>
                      <m:t xml:space="preserve">if </m:t>
                    </m:r>
                    <m:r>
                      <m:rPr>
                        <m:sty m:val="p"/>
                      </m:rPr>
                      <w:rPr>
                        <w:rFonts w:ascii="Cambria Math" w:eastAsiaTheme="minorHAnsi" w:hAnsi="Cambria Math"/>
                        <w:color w:val="1F497D"/>
                        <w:sz w:val="20"/>
                        <w:szCs w:val="20"/>
                        <w:lang w:val="en-IN"/>
                      </w:rPr>
                      <m:t>Δ</m:t>
                    </m:r>
                    <m:r>
                      <w:rPr>
                        <w:rFonts w:ascii="Cambria Math" w:eastAsiaTheme="minorHAnsi" w:hAnsi="Cambria Math"/>
                        <w:color w:val="1F497D"/>
                        <w:sz w:val="20"/>
                        <w:szCs w:val="20"/>
                        <w:lang w:val="en-IN"/>
                      </w:rPr>
                      <m:t>W</m:t>
                    </m:r>
                    <m:r>
                      <m:rPr>
                        <m:sty m:val="p"/>
                      </m:rPr>
                      <w:rPr>
                        <w:rFonts w:ascii="Cambria Math" w:eastAsiaTheme="minorHAnsi" w:hAnsi="Cambria Math"/>
                        <w:color w:val="1F497D"/>
                        <w:sz w:val="20"/>
                        <w:szCs w:val="20"/>
                        <w:lang w:val="en-IN"/>
                      </w:rPr>
                      <m:t>≥0</m:t>
                    </m:r>
                    <m:r>
                      <m:rPr>
                        <m:nor/>
                      </m:rPr>
                      <w:rPr>
                        <w:rFonts w:eastAsiaTheme="minorHAnsi"/>
                        <w:color w:val="1F497D"/>
                        <w:sz w:val="20"/>
                        <w:szCs w:val="20"/>
                        <w:lang w:val="en-IN"/>
                      </w:rPr>
                      <m:t xml:space="preserve"> (Gain)</m:t>
                    </m:r>
                  </m:e>
                </m:mr>
                <m:mr>
                  <m:e>
                    <m:r>
                      <m:rPr>
                        <m:sty m:val="p"/>
                      </m:rPr>
                      <w:rPr>
                        <w:rFonts w:ascii="Cambria Math" w:eastAsiaTheme="minorHAnsi" w:hAnsi="Cambria Math"/>
                        <w:color w:val="1F497D"/>
                        <w:sz w:val="20"/>
                        <w:szCs w:val="20"/>
                        <w:lang w:val="en-IN"/>
                      </w:rPr>
                      <m:t>-</m:t>
                    </m:r>
                    <m:r>
                      <w:rPr>
                        <w:rFonts w:ascii="Cambria Math" w:eastAsiaTheme="minorHAnsi" w:hAnsi="Cambria Math"/>
                        <w:color w:val="1F497D"/>
                        <w:sz w:val="20"/>
                        <w:szCs w:val="20"/>
                        <w:lang w:val="en-IN"/>
                      </w:rPr>
                      <m:t>λ</m:t>
                    </m:r>
                    <m:r>
                      <m:rPr>
                        <m:sty m:val="p"/>
                      </m:rPr>
                      <w:rPr>
                        <w:rFonts w:ascii="Cambria Math" w:eastAsiaTheme="minorHAnsi" w:hAnsi="Cambria Math"/>
                        <w:color w:val="1F497D"/>
                        <w:sz w:val="20"/>
                        <w:szCs w:val="20"/>
                        <w:lang w:val="en-IN"/>
                      </w:rPr>
                      <m:t>(-Δ</m:t>
                    </m:r>
                    <m:r>
                      <w:rPr>
                        <w:rFonts w:ascii="Cambria Math" w:eastAsiaTheme="minorHAnsi" w:hAnsi="Cambria Math"/>
                        <w:color w:val="1F497D"/>
                        <w:sz w:val="20"/>
                        <w:szCs w:val="20"/>
                        <w:lang w:val="en-IN"/>
                      </w:rPr>
                      <m:t>W</m:t>
                    </m:r>
                    <m:sSup>
                      <m:sSupPr>
                        <m:ctrlPr>
                          <w:rPr>
                            <w:rFonts w:ascii="Cambria Math" w:eastAsiaTheme="minorHAnsi" w:hAnsi="Cambria Math"/>
                            <w:color w:val="1F497D"/>
                            <w:sz w:val="20"/>
                            <w:szCs w:val="20"/>
                            <w:lang w:val="en-IN"/>
                          </w:rPr>
                        </m:ctrlPr>
                      </m:sSupPr>
                      <m:e>
                        <m:r>
                          <m:rPr>
                            <m:sty m:val="p"/>
                          </m:rPr>
                          <w:rPr>
                            <w:rFonts w:ascii="Cambria Math" w:eastAsiaTheme="minorHAnsi" w:hAnsi="Cambria Math"/>
                            <w:color w:val="1F497D"/>
                            <w:sz w:val="20"/>
                            <w:szCs w:val="20"/>
                            <w:lang w:val="en-IN"/>
                          </w:rPr>
                          <m:t>)</m:t>
                        </m:r>
                      </m:e>
                      <m:sup>
                        <m:r>
                          <w:rPr>
                            <w:rFonts w:ascii="Cambria Math" w:eastAsiaTheme="minorHAnsi" w:hAnsi="Cambria Math"/>
                            <w:color w:val="1F497D"/>
                            <w:sz w:val="20"/>
                            <w:szCs w:val="20"/>
                            <w:lang w:val="en-IN"/>
                          </w:rPr>
                          <m:t>β</m:t>
                        </m:r>
                      </m:sup>
                    </m:sSup>
                  </m:e>
                  <m:e>
                    <m:r>
                      <m:rPr>
                        <m:nor/>
                      </m:rPr>
                      <w:rPr>
                        <w:rFonts w:eastAsiaTheme="minorHAnsi"/>
                        <w:color w:val="1F497D"/>
                        <w:sz w:val="20"/>
                        <w:szCs w:val="20"/>
                        <w:lang w:val="en-IN"/>
                      </w:rPr>
                      <m:t xml:space="preserve">if </m:t>
                    </m:r>
                    <m:r>
                      <m:rPr>
                        <m:sty m:val="p"/>
                      </m:rPr>
                      <w:rPr>
                        <w:rFonts w:ascii="Cambria Math" w:eastAsiaTheme="minorHAnsi" w:hAnsi="Cambria Math"/>
                        <w:color w:val="1F497D"/>
                        <w:sz w:val="20"/>
                        <w:szCs w:val="20"/>
                        <w:lang w:val="en-IN"/>
                      </w:rPr>
                      <m:t>Δ</m:t>
                    </m:r>
                    <m:r>
                      <w:rPr>
                        <w:rFonts w:ascii="Cambria Math" w:eastAsiaTheme="minorHAnsi" w:hAnsi="Cambria Math"/>
                        <w:color w:val="1F497D"/>
                        <w:sz w:val="20"/>
                        <w:szCs w:val="20"/>
                        <w:lang w:val="en-IN"/>
                      </w:rPr>
                      <m:t>W</m:t>
                    </m:r>
                    <m:r>
                      <m:rPr>
                        <m:sty m:val="p"/>
                      </m:rPr>
                      <w:rPr>
                        <w:rFonts w:ascii="Cambria Math" w:eastAsiaTheme="minorHAnsi" w:hAnsi="Cambria Math"/>
                        <w:color w:val="1F497D"/>
                        <w:sz w:val="20"/>
                        <w:szCs w:val="20"/>
                        <w:lang w:val="en-IN"/>
                      </w:rPr>
                      <m:t>&lt;0</m:t>
                    </m:r>
                    <m:r>
                      <m:rPr>
                        <m:nor/>
                      </m:rPr>
                      <w:rPr>
                        <w:rFonts w:eastAsiaTheme="minorHAnsi"/>
                        <w:color w:val="1F497D"/>
                        <w:sz w:val="20"/>
                        <w:szCs w:val="20"/>
                        <w:lang w:val="en-IN"/>
                      </w:rPr>
                      <m:t xml:space="preserve"> (Loss)</m:t>
                    </m:r>
                  </m:e>
                </m:mr>
              </m:m>
            </m:e>
          </m:d>
        </m:oMath>
      </m:oMathPara>
    </w:p>
    <w:p w14:paraId="14AFFFB6" w14:textId="77777777" w:rsidR="0041215D" w:rsidRPr="0041215D" w:rsidRDefault="0041215D" w:rsidP="0041215D">
      <w:pPr>
        <w:pStyle w:val="FirstParagraph"/>
        <w:spacing w:after="0"/>
        <w:jc w:val="both"/>
        <w:rPr>
          <w:rFonts w:cs="Times New Roman"/>
          <w:color w:val="1F497D"/>
          <w:sz w:val="20"/>
          <w:szCs w:val="20"/>
          <w:lang w:val="en-IN"/>
        </w:rPr>
      </w:pPr>
      <w:r w:rsidRPr="0041215D">
        <w:rPr>
          <w:rFonts w:cs="Times New Roman"/>
          <w:color w:val="1F497D"/>
          <w:sz w:val="20"/>
          <w:szCs w:val="20"/>
          <w:lang w:val="en-IN"/>
        </w:rPr>
        <w:t>where:</w:t>
      </w:r>
    </w:p>
    <w:p w14:paraId="3EF19819" w14:textId="77777777" w:rsidR="0041215D" w:rsidRPr="0041215D" w:rsidRDefault="0041215D" w:rsidP="0041215D">
      <w:pPr>
        <w:pStyle w:val="Compact"/>
        <w:numPr>
          <w:ilvl w:val="0"/>
          <w:numId w:val="198"/>
        </w:numPr>
        <w:spacing w:after="0"/>
        <w:jc w:val="both"/>
        <w:rPr>
          <w:rFonts w:cs="Times New Roman"/>
          <w:color w:val="1F497D"/>
          <w:sz w:val="20"/>
          <w:szCs w:val="20"/>
          <w:lang w:val="en-IN"/>
        </w:rPr>
      </w:pPr>
      <m:oMath>
        <m:r>
          <m:rPr>
            <m:sty m:val="p"/>
          </m:rPr>
          <w:rPr>
            <w:rFonts w:ascii="Cambria Math" w:hAnsi="Cambria Math" w:cs="Times New Roman"/>
            <w:color w:val="1F497D"/>
            <w:sz w:val="20"/>
            <w:szCs w:val="20"/>
            <w:lang w:val="en-IN"/>
          </w:rPr>
          <m:t>Δ</m:t>
        </m:r>
        <m:r>
          <w:rPr>
            <w:rFonts w:ascii="Cambria Math" w:hAnsi="Cambria Math" w:cs="Times New Roman"/>
            <w:color w:val="1F497D"/>
            <w:sz w:val="20"/>
            <w:szCs w:val="20"/>
            <w:lang w:val="en-IN"/>
          </w:rPr>
          <m:t>W</m:t>
        </m:r>
        <m:r>
          <m:rPr>
            <m:sty m:val="p"/>
          </m:rPr>
          <w:rPr>
            <w:rFonts w:ascii="Cambria Math" w:hAnsi="Cambria Math" w:cs="Times New Roman"/>
            <w:color w:val="1F497D"/>
            <w:sz w:val="20"/>
            <w:szCs w:val="20"/>
            <w:lang w:val="en-IN"/>
          </w:rPr>
          <m:t>=</m:t>
        </m:r>
        <m:r>
          <w:rPr>
            <w:rFonts w:ascii="Cambria Math" w:hAnsi="Cambria Math" w:cs="Times New Roman"/>
            <w:color w:val="1F497D"/>
            <w:sz w:val="20"/>
            <w:szCs w:val="20"/>
            <w:lang w:val="en-IN"/>
          </w:rPr>
          <m:t>W</m:t>
        </m:r>
        <m:r>
          <m:rPr>
            <m:sty m:val="p"/>
          </m:rPr>
          <w:rPr>
            <w:rFonts w:ascii="Cambria Math" w:hAnsi="Cambria Math" w:cs="Times New Roman"/>
            <w:color w:val="1F497D"/>
            <w:sz w:val="20"/>
            <w:szCs w:val="20"/>
            <w:lang w:val="en-IN"/>
          </w:rPr>
          <m:t>-</m:t>
        </m:r>
        <m:sSub>
          <m:sSubPr>
            <m:ctrlPr>
              <w:rPr>
                <w:rFonts w:ascii="Cambria Math" w:hAnsi="Cambria Math" w:cs="Times New Roman"/>
                <w:color w:val="1F497D"/>
                <w:sz w:val="20"/>
                <w:szCs w:val="20"/>
                <w:lang w:val="en-IN"/>
              </w:rPr>
            </m:ctrlPr>
          </m:sSubPr>
          <m:e>
            <m:r>
              <w:rPr>
                <w:rFonts w:ascii="Cambria Math" w:hAnsi="Cambria Math" w:cs="Times New Roman"/>
                <w:color w:val="1F497D"/>
                <w:sz w:val="20"/>
                <w:szCs w:val="20"/>
                <w:lang w:val="en-IN"/>
              </w:rPr>
              <m:t>W</m:t>
            </m:r>
          </m:e>
          <m:sub>
            <m:r>
              <m:rPr>
                <m:sty m:val="p"/>
              </m:rPr>
              <w:rPr>
                <w:rFonts w:ascii="Cambria Math" w:hAnsi="Cambria Math" w:cs="Times New Roman"/>
                <w:color w:val="1F497D"/>
                <w:sz w:val="20"/>
                <w:szCs w:val="20"/>
                <w:lang w:val="en-IN"/>
              </w:rPr>
              <m:t>0</m:t>
            </m:r>
          </m:sub>
        </m:sSub>
      </m:oMath>
      <w:r w:rsidRPr="0041215D">
        <w:rPr>
          <w:rFonts w:cs="Times New Roman"/>
          <w:color w:val="1F497D"/>
          <w:sz w:val="20"/>
          <w:szCs w:val="20"/>
          <w:lang w:val="en-IN"/>
        </w:rPr>
        <w:t xml:space="preserve"> is the deviation from the reference point (e.g., purchase price).</w:t>
      </w:r>
    </w:p>
    <w:p w14:paraId="5564CCA6" w14:textId="77777777" w:rsidR="0041215D" w:rsidRPr="0041215D" w:rsidRDefault="0041215D" w:rsidP="0041215D">
      <w:pPr>
        <w:pStyle w:val="Compact"/>
        <w:numPr>
          <w:ilvl w:val="0"/>
          <w:numId w:val="198"/>
        </w:numPr>
        <w:spacing w:after="0"/>
        <w:jc w:val="both"/>
        <w:rPr>
          <w:rFonts w:cs="Times New Roman"/>
          <w:color w:val="1F497D"/>
          <w:sz w:val="20"/>
          <w:szCs w:val="20"/>
          <w:lang w:val="en-IN"/>
        </w:rPr>
      </w:pPr>
      <m:oMath>
        <m:r>
          <w:rPr>
            <w:rFonts w:ascii="Cambria Math" w:hAnsi="Cambria Math" w:cs="Times New Roman"/>
            <w:color w:val="1F497D"/>
            <w:sz w:val="20"/>
            <w:szCs w:val="20"/>
            <w:lang w:val="en-IN"/>
          </w:rPr>
          <m:t>α</m:t>
        </m:r>
        <m:r>
          <m:rPr>
            <m:sty m:val="p"/>
          </m:rPr>
          <w:rPr>
            <w:rFonts w:ascii="Cambria Math" w:hAnsi="Cambria Math" w:cs="Times New Roman"/>
            <w:color w:val="1F497D"/>
            <w:sz w:val="20"/>
            <w:szCs w:val="20"/>
            <w:lang w:val="en-IN"/>
          </w:rPr>
          <m:t>,</m:t>
        </m:r>
        <m:r>
          <w:rPr>
            <w:rFonts w:ascii="Cambria Math" w:hAnsi="Cambria Math" w:cs="Times New Roman"/>
            <w:color w:val="1F497D"/>
            <w:sz w:val="20"/>
            <w:szCs w:val="20"/>
            <w:lang w:val="en-IN"/>
          </w:rPr>
          <m:t>β</m:t>
        </m:r>
        <m:r>
          <m:rPr>
            <m:sty m:val="p"/>
          </m:rPr>
          <w:rPr>
            <w:rFonts w:ascii="Cambria Math" w:hAnsi="Cambria Math" w:cs="Times New Roman"/>
            <w:color w:val="1F497D"/>
            <w:sz w:val="20"/>
            <w:szCs w:val="20"/>
            <w:lang w:val="en-IN"/>
          </w:rPr>
          <m:t>∈(0,1]</m:t>
        </m:r>
      </m:oMath>
      <w:r w:rsidRPr="0041215D">
        <w:rPr>
          <w:rFonts w:cs="Times New Roman"/>
          <w:color w:val="1F497D"/>
          <w:sz w:val="20"/>
          <w:szCs w:val="20"/>
          <w:lang w:val="en-IN"/>
        </w:rPr>
        <w:t xml:space="preserve"> are parameters controlling the curvature (risk aversion for gains, risk-seeking for losses).</w:t>
      </w:r>
    </w:p>
    <w:p w14:paraId="170BE6C8" w14:textId="77777777" w:rsidR="0041215D" w:rsidRPr="0041215D" w:rsidRDefault="0041215D" w:rsidP="0041215D">
      <w:pPr>
        <w:pStyle w:val="Compact"/>
        <w:numPr>
          <w:ilvl w:val="0"/>
          <w:numId w:val="198"/>
        </w:numPr>
        <w:spacing w:after="0"/>
        <w:jc w:val="both"/>
        <w:rPr>
          <w:rFonts w:cs="Times New Roman"/>
          <w:color w:val="1F497D"/>
          <w:sz w:val="20"/>
          <w:szCs w:val="20"/>
          <w:lang w:val="en-IN"/>
        </w:rPr>
      </w:pPr>
      <m:oMath>
        <m:r>
          <w:rPr>
            <w:rFonts w:ascii="Cambria Math" w:hAnsi="Cambria Math" w:cs="Times New Roman"/>
            <w:color w:val="1F497D"/>
            <w:sz w:val="20"/>
            <w:szCs w:val="20"/>
            <w:lang w:val="en-IN"/>
          </w:rPr>
          <m:t>λ</m:t>
        </m:r>
        <m:r>
          <m:rPr>
            <m:sty m:val="p"/>
          </m:rPr>
          <w:rPr>
            <w:rFonts w:ascii="Cambria Math" w:hAnsi="Cambria Math" w:cs="Times New Roman"/>
            <w:color w:val="1F497D"/>
            <w:sz w:val="20"/>
            <w:szCs w:val="20"/>
            <w:lang w:val="en-IN"/>
          </w:rPr>
          <m:t>&gt;1</m:t>
        </m:r>
      </m:oMath>
      <w:r w:rsidRPr="0041215D">
        <w:rPr>
          <w:rFonts w:cs="Times New Roman"/>
          <w:color w:val="1F497D"/>
          <w:sz w:val="20"/>
          <w:szCs w:val="20"/>
          <w:lang w:val="en-IN"/>
        </w:rPr>
        <w:t xml:space="preserve"> is the loss aversion coefficient. A value of </w:t>
      </w:r>
      <m:oMath>
        <m:r>
          <w:rPr>
            <w:rFonts w:ascii="Cambria Math" w:hAnsi="Cambria Math" w:cs="Times New Roman"/>
            <w:color w:val="1F497D"/>
            <w:sz w:val="20"/>
            <w:szCs w:val="20"/>
            <w:lang w:val="en-IN"/>
          </w:rPr>
          <m:t>λ</m:t>
        </m:r>
        <m:r>
          <m:rPr>
            <m:sty m:val="p"/>
          </m:rPr>
          <w:rPr>
            <w:rFonts w:ascii="Cambria Math" w:hAnsi="Cambria Math" w:cs="Times New Roman"/>
            <w:color w:val="1F497D"/>
            <w:sz w:val="20"/>
            <w:szCs w:val="20"/>
            <w:lang w:val="en-IN"/>
          </w:rPr>
          <m:t>≈2.25</m:t>
        </m:r>
      </m:oMath>
      <w:r w:rsidRPr="0041215D">
        <w:rPr>
          <w:rFonts w:cs="Times New Roman"/>
          <w:color w:val="1F497D"/>
          <w:sz w:val="20"/>
          <w:szCs w:val="20"/>
          <w:lang w:val="en-IN"/>
        </w:rPr>
        <w:t>, as empirically estimated by [17], implies that the pain of a loss is more than twice the pleasure from an equivalent gain.</w:t>
      </w:r>
    </w:p>
    <w:p w14:paraId="3EA13E67" w14:textId="77777777" w:rsidR="0041215D" w:rsidRPr="0041215D" w:rsidRDefault="0041215D" w:rsidP="0041215D">
      <w:pPr>
        <w:pStyle w:val="FirstParagraph"/>
        <w:spacing w:after="0"/>
        <w:jc w:val="both"/>
        <w:rPr>
          <w:rFonts w:cs="Times New Roman"/>
          <w:color w:val="1F497D"/>
          <w:sz w:val="20"/>
          <w:szCs w:val="20"/>
          <w:lang w:val="en-IN"/>
        </w:rPr>
      </w:pPr>
      <w:r w:rsidRPr="0041215D">
        <w:rPr>
          <w:rFonts w:cs="Times New Roman"/>
          <w:color w:val="1F497D"/>
          <w:sz w:val="20"/>
          <w:szCs w:val="20"/>
          <w:lang w:val="en-IN"/>
        </w:rPr>
        <w:t xml:space="preserve">Crisis Amplification: During a market downturn, </w:t>
      </w:r>
      <m:oMath>
        <m:r>
          <m:rPr>
            <m:sty m:val="p"/>
          </m:rPr>
          <w:rPr>
            <w:rFonts w:ascii="Cambria Math" w:hAnsi="Cambria Math" w:cs="Times New Roman"/>
            <w:color w:val="1F497D"/>
            <w:sz w:val="20"/>
            <w:szCs w:val="20"/>
            <w:lang w:val="en-IN"/>
          </w:rPr>
          <m:t>Δ</m:t>
        </m:r>
        <m:r>
          <w:rPr>
            <w:rFonts w:ascii="Cambria Math" w:hAnsi="Cambria Math" w:cs="Times New Roman"/>
            <w:color w:val="1F497D"/>
            <w:sz w:val="20"/>
            <w:szCs w:val="20"/>
            <w:lang w:val="en-IN"/>
          </w:rPr>
          <m:t>W</m:t>
        </m:r>
      </m:oMath>
      <w:r w:rsidRPr="0041215D">
        <w:rPr>
          <w:rFonts w:cs="Times New Roman"/>
          <w:color w:val="1F497D"/>
          <w:sz w:val="20"/>
          <w:szCs w:val="20"/>
          <w:lang w:val="en-IN"/>
        </w:rPr>
        <w:t xml:space="preserve"> becomes negative for a majority of investors. The convexity of the value function in the loss domain induces risk-seeking behavior—investors are more willing to "gamble for resurrection" by holding onto losing positions or buying volatile assets in hopes of breaking even. Simultaneously, the heightened sensitivity from </w:t>
      </w:r>
      <m:oMath>
        <m:r>
          <w:rPr>
            <w:rFonts w:ascii="Cambria Math" w:hAnsi="Cambria Math" w:cs="Times New Roman"/>
            <w:color w:val="1F497D"/>
            <w:sz w:val="20"/>
            <w:szCs w:val="20"/>
            <w:lang w:val="en-IN"/>
          </w:rPr>
          <m:t>λ</m:t>
        </m:r>
      </m:oMath>
      <w:r w:rsidRPr="0041215D">
        <w:rPr>
          <w:rFonts w:cs="Times New Roman"/>
          <w:color w:val="1F497D"/>
          <w:sz w:val="20"/>
          <w:szCs w:val="20"/>
          <w:lang w:val="en-IN"/>
        </w:rPr>
        <w:t xml:space="preserve"> magnifies the perceived disutility of further losses, leading to panic selling once a psychological threshold is breached. This creates a bimodal response: delayed reaction followed by a violent overreaction.</w:t>
      </w:r>
    </w:p>
    <w:p w14:paraId="1CBE8973" w14:textId="77777777" w:rsidR="0041215D" w:rsidRDefault="0041215D" w:rsidP="0041215D">
      <w:pPr>
        <w:pStyle w:val="BodyText"/>
        <w:jc w:val="both"/>
        <w:rPr>
          <w:rFonts w:eastAsiaTheme="minorHAnsi"/>
          <w:b/>
          <w:bCs/>
          <w:color w:val="1F497D"/>
          <w:sz w:val="20"/>
          <w:szCs w:val="20"/>
          <w:lang w:val="en-IN"/>
        </w:rPr>
        <w:sectPr w:rsidR="0041215D" w:rsidSect="00FC6EBC">
          <w:type w:val="continuous"/>
          <w:pgSz w:w="11906" w:h="16838" w:code="9"/>
          <w:pgMar w:top="1021" w:right="1066" w:bottom="964" w:left="1168" w:header="851" w:footer="777" w:gutter="0"/>
          <w:cols w:num="2" w:space="708"/>
          <w:docGrid w:linePitch="360"/>
        </w:sectPr>
      </w:pPr>
    </w:p>
    <w:p w14:paraId="7B730415" w14:textId="77777777" w:rsidR="0041215D" w:rsidRDefault="0041215D" w:rsidP="0041215D">
      <w:pPr>
        <w:pStyle w:val="BodyText"/>
        <w:jc w:val="both"/>
        <w:rPr>
          <w:rFonts w:eastAsiaTheme="minorHAnsi"/>
          <w:b/>
          <w:bCs/>
          <w:color w:val="1F497D"/>
          <w:sz w:val="20"/>
          <w:szCs w:val="20"/>
          <w:lang w:val="en-IN"/>
        </w:rPr>
      </w:pPr>
    </w:p>
    <w:p w14:paraId="4AE3D4A7" w14:textId="5B4B867B" w:rsidR="0041215D" w:rsidRPr="0041215D" w:rsidRDefault="0041215D" w:rsidP="0041215D">
      <w:pPr>
        <w:pStyle w:val="BodyText"/>
        <w:jc w:val="center"/>
        <w:rPr>
          <w:rFonts w:eastAsiaTheme="minorHAnsi"/>
          <w:b/>
          <w:bCs/>
          <w:color w:val="1F497D"/>
          <w:sz w:val="20"/>
          <w:szCs w:val="20"/>
          <w:lang w:val="en-IN"/>
        </w:rPr>
      </w:pPr>
      <w:r w:rsidRPr="0041215D">
        <w:rPr>
          <w:rFonts w:eastAsiaTheme="minorHAnsi"/>
          <w:b/>
          <w:bCs/>
          <w:color w:val="1F497D"/>
          <w:sz w:val="20"/>
          <w:szCs w:val="20"/>
          <w:lang w:val="en-IN"/>
        </w:rPr>
        <w:t>3.2 Herd Behavior and Information Cascades</w:t>
      </w:r>
    </w:p>
    <w:p w14:paraId="2161DF57" w14:textId="77777777" w:rsidR="0041215D" w:rsidRPr="0041215D" w:rsidRDefault="0041215D" w:rsidP="0041215D">
      <w:pPr>
        <w:pStyle w:val="BodyText"/>
        <w:jc w:val="both"/>
        <w:rPr>
          <w:rFonts w:eastAsiaTheme="minorHAnsi"/>
          <w:color w:val="1F497D"/>
          <w:sz w:val="20"/>
          <w:szCs w:val="20"/>
          <w:lang w:val="en-IN"/>
        </w:rPr>
      </w:pPr>
      <w:r w:rsidRPr="0041215D">
        <w:rPr>
          <w:rFonts w:eastAsiaTheme="minorHAnsi"/>
          <w:color w:val="1F497D"/>
          <w:sz w:val="20"/>
          <w:szCs w:val="20"/>
          <w:lang w:val="en-IN"/>
        </w:rPr>
        <w:t xml:space="preserve">We model herding using a sequential decision model based on [1] and [15]. Consider a market with a continuum of investors, </w:t>
      </w:r>
      <m:oMath>
        <m:r>
          <w:rPr>
            <w:rFonts w:ascii="Cambria Math" w:eastAsiaTheme="minorHAnsi" w:hAnsi="Cambria Math"/>
            <w:color w:val="1F497D"/>
            <w:sz w:val="20"/>
            <w:szCs w:val="20"/>
            <w:lang w:val="en-IN"/>
          </w:rPr>
          <m:t>i</m:t>
        </m:r>
        <m:r>
          <m:rPr>
            <m:sty m:val="p"/>
          </m:rPr>
          <w:rPr>
            <w:rFonts w:ascii="Cambria Math" w:eastAsiaTheme="minorHAnsi" w:hAnsi="Cambria Math"/>
            <w:color w:val="1F497D"/>
            <w:sz w:val="20"/>
            <w:szCs w:val="20"/>
            <w:lang w:val="en-IN"/>
          </w:rPr>
          <m:t>∈[0,1]</m:t>
        </m:r>
      </m:oMath>
      <w:r w:rsidRPr="0041215D">
        <w:rPr>
          <w:rFonts w:eastAsiaTheme="minorHAnsi"/>
          <w:color w:val="1F497D"/>
          <w:sz w:val="20"/>
          <w:szCs w:val="20"/>
          <w:lang w:val="en-IN"/>
        </w:rPr>
        <w:t xml:space="preserve">, who sequentially decide to Buy (B) or Sell (S) an asset of uncertain value, </w:t>
      </w:r>
      <m:oMath>
        <m:r>
          <w:rPr>
            <w:rFonts w:ascii="Cambria Math" w:eastAsiaTheme="minorHAnsi" w:hAnsi="Cambria Math"/>
            <w:color w:val="1F497D"/>
            <w:sz w:val="20"/>
            <w:szCs w:val="20"/>
            <w:lang w:val="en-IN"/>
          </w:rPr>
          <m:t>V</m:t>
        </m:r>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V</m:t>
            </m:r>
          </m:e>
          <m:sub>
            <m:r>
              <w:rPr>
                <w:rFonts w:ascii="Cambria Math" w:eastAsiaTheme="minorHAnsi" w:hAnsi="Cambria Math"/>
                <w:color w:val="1F497D"/>
                <w:sz w:val="20"/>
                <w:szCs w:val="20"/>
                <w:lang w:val="en-IN"/>
              </w:rPr>
              <m:t>H</m:t>
            </m:r>
          </m:sub>
        </m:sSub>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V</m:t>
            </m:r>
          </m:e>
          <m:sub>
            <m:r>
              <w:rPr>
                <w:rFonts w:ascii="Cambria Math" w:eastAsiaTheme="minorHAnsi" w:hAnsi="Cambria Math"/>
                <w:color w:val="1F497D"/>
                <w:sz w:val="20"/>
                <w:szCs w:val="20"/>
                <w:lang w:val="en-IN"/>
              </w:rPr>
              <m:t>L</m:t>
            </m:r>
          </m:sub>
        </m:sSub>
        <m:r>
          <m:rPr>
            <m:sty m:val="p"/>
          </m:rPr>
          <w:rPr>
            <w:rFonts w:ascii="Cambria Math" w:eastAsiaTheme="minorHAnsi" w:hAnsi="Cambria Math"/>
            <w:color w:val="1F497D"/>
            <w:sz w:val="20"/>
            <w:szCs w:val="20"/>
            <w:lang w:val="en-IN"/>
          </w:rPr>
          <m:t>}</m:t>
        </m:r>
      </m:oMath>
      <w:r w:rsidRPr="0041215D">
        <w:rPr>
          <w:rFonts w:eastAsiaTheme="minorHAnsi"/>
          <w:color w:val="1F497D"/>
          <w:sz w:val="20"/>
          <w:szCs w:val="20"/>
          <w:lang w:val="en-IN"/>
        </w:rPr>
        <w:t>.</w:t>
      </w:r>
    </w:p>
    <w:p w14:paraId="42C1C9D2" w14:textId="77777777" w:rsidR="0041215D" w:rsidRPr="0041215D" w:rsidRDefault="0041215D" w:rsidP="0041215D">
      <w:pPr>
        <w:pStyle w:val="BodyText"/>
        <w:jc w:val="both"/>
        <w:rPr>
          <w:rFonts w:eastAsiaTheme="minorHAnsi"/>
          <w:color w:val="1F497D"/>
          <w:sz w:val="20"/>
          <w:szCs w:val="20"/>
          <w:lang w:val="en-IN"/>
        </w:rPr>
      </w:pPr>
      <w:r w:rsidRPr="0041215D">
        <w:rPr>
          <w:rFonts w:eastAsiaTheme="minorHAnsi"/>
          <w:color w:val="1F497D"/>
          <w:sz w:val="20"/>
          <w:szCs w:val="20"/>
          <w:lang w:val="en-IN"/>
        </w:rPr>
        <w:t xml:space="preserve">Each investor </w:t>
      </w:r>
      <m:oMath>
        <m:r>
          <w:rPr>
            <w:rFonts w:ascii="Cambria Math" w:eastAsiaTheme="minorHAnsi" w:hAnsi="Cambria Math"/>
            <w:color w:val="1F497D"/>
            <w:sz w:val="20"/>
            <w:szCs w:val="20"/>
            <w:lang w:val="en-IN"/>
          </w:rPr>
          <m:t>i</m:t>
        </m:r>
      </m:oMath>
      <w:r w:rsidRPr="0041215D">
        <w:rPr>
          <w:rFonts w:eastAsiaTheme="minorHAnsi"/>
          <w:color w:val="1F497D"/>
          <w:sz w:val="20"/>
          <w:szCs w:val="20"/>
          <w:lang w:val="en-IN"/>
        </w:rPr>
        <w:t xml:space="preserve"> receives a private signal </w:t>
      </w:r>
      <m:oMath>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s</m:t>
            </m:r>
          </m:e>
          <m:sub>
            <m:r>
              <w:rPr>
                <w:rFonts w:ascii="Cambria Math" w:eastAsiaTheme="minorHAnsi" w:hAnsi="Cambria Math"/>
                <w:color w:val="1F497D"/>
                <w:sz w:val="20"/>
                <w:szCs w:val="20"/>
                <w:lang w:val="en-IN"/>
              </w:rPr>
              <m:t>i</m:t>
            </m:r>
          </m:sub>
        </m:sSub>
        <m:r>
          <m:rPr>
            <m:sty m:val="p"/>
          </m:rPr>
          <w:rPr>
            <w:rFonts w:ascii="Cambria Math" w:eastAsiaTheme="minorHAnsi" w:hAnsi="Cambria Math"/>
            <w:color w:val="1F497D"/>
            <w:sz w:val="20"/>
            <w:szCs w:val="20"/>
            <w:lang w:val="en-IN"/>
          </w:rPr>
          <m:t>∈{</m:t>
        </m:r>
        <m:r>
          <w:rPr>
            <w:rFonts w:ascii="Cambria Math" w:eastAsiaTheme="minorHAnsi" w:hAnsi="Cambria Math"/>
            <w:color w:val="1F497D"/>
            <w:sz w:val="20"/>
            <w:szCs w:val="20"/>
            <w:lang w:val="en-IN"/>
          </w:rPr>
          <m:t>h</m:t>
        </m:r>
        <m:r>
          <m:rPr>
            <m:sty m:val="p"/>
          </m:rPr>
          <w:rPr>
            <w:rFonts w:ascii="Cambria Math" w:eastAsiaTheme="minorHAnsi" w:hAnsi="Cambria Math"/>
            <w:color w:val="1F497D"/>
            <w:sz w:val="20"/>
            <w:szCs w:val="20"/>
            <w:lang w:val="en-IN"/>
          </w:rPr>
          <m:t>,</m:t>
        </m:r>
        <m:r>
          <w:rPr>
            <w:rFonts w:ascii="Cambria Math" w:eastAsiaTheme="minorHAnsi" w:hAnsi="Cambria Math"/>
            <w:color w:val="1F497D"/>
            <w:sz w:val="20"/>
            <w:szCs w:val="20"/>
            <w:lang w:val="en-IN"/>
          </w:rPr>
          <m:t>l</m:t>
        </m:r>
        <m:r>
          <m:rPr>
            <m:sty m:val="p"/>
          </m:rPr>
          <w:rPr>
            <w:rFonts w:ascii="Cambria Math" w:eastAsiaTheme="minorHAnsi" w:hAnsi="Cambria Math"/>
            <w:color w:val="1F497D"/>
            <w:sz w:val="20"/>
            <w:szCs w:val="20"/>
            <w:lang w:val="en-IN"/>
          </w:rPr>
          <m:t>}</m:t>
        </m:r>
      </m:oMath>
      <w:r w:rsidRPr="0041215D">
        <w:rPr>
          <w:rFonts w:eastAsiaTheme="minorHAnsi"/>
          <w:color w:val="1F497D"/>
          <w:sz w:val="20"/>
          <w:szCs w:val="20"/>
          <w:lang w:val="en-IN"/>
        </w:rPr>
        <w:t xml:space="preserve">, where </w:t>
      </w:r>
      <m:oMath>
        <m:r>
          <w:rPr>
            <w:rFonts w:ascii="Cambria Math" w:eastAsiaTheme="minorHAnsi" w:hAnsi="Cambria Math"/>
            <w:color w:val="1F497D"/>
            <w:sz w:val="20"/>
            <w:szCs w:val="20"/>
            <w:lang w:val="en-IN"/>
          </w:rPr>
          <m:t>P</m:t>
        </m:r>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s</m:t>
            </m:r>
          </m:e>
          <m:sub>
            <m:r>
              <w:rPr>
                <w:rFonts w:ascii="Cambria Math" w:eastAsiaTheme="minorHAnsi" w:hAnsi="Cambria Math"/>
                <w:color w:val="1F497D"/>
                <w:sz w:val="20"/>
                <w:szCs w:val="20"/>
                <w:lang w:val="en-IN"/>
              </w:rPr>
              <m:t>i</m:t>
            </m:r>
          </m:sub>
        </m:sSub>
        <m:r>
          <m:rPr>
            <m:sty m:val="p"/>
          </m:rPr>
          <w:rPr>
            <w:rFonts w:ascii="Cambria Math" w:eastAsiaTheme="minorHAnsi" w:hAnsi="Cambria Math"/>
            <w:color w:val="1F497D"/>
            <w:sz w:val="20"/>
            <w:szCs w:val="20"/>
            <w:lang w:val="en-IN"/>
          </w:rPr>
          <m:t>=</m:t>
        </m:r>
        <m:r>
          <w:rPr>
            <w:rFonts w:ascii="Cambria Math" w:eastAsiaTheme="minorHAnsi" w:hAnsi="Cambria Math"/>
            <w:color w:val="1F497D"/>
            <w:sz w:val="20"/>
            <w:szCs w:val="20"/>
            <w:lang w:val="en-IN"/>
          </w:rPr>
          <m:t>h</m:t>
        </m:r>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V</m:t>
            </m:r>
          </m:e>
          <m:sub>
            <m:r>
              <w:rPr>
                <w:rFonts w:ascii="Cambria Math" w:eastAsiaTheme="minorHAnsi" w:hAnsi="Cambria Math"/>
                <w:color w:val="1F497D"/>
                <w:sz w:val="20"/>
                <w:szCs w:val="20"/>
                <w:lang w:val="en-IN"/>
              </w:rPr>
              <m:t>H</m:t>
            </m:r>
          </m:sub>
        </m:sSub>
        <m:r>
          <m:rPr>
            <m:sty m:val="p"/>
          </m:rPr>
          <w:rPr>
            <w:rFonts w:ascii="Cambria Math" w:eastAsiaTheme="minorHAnsi" w:hAnsi="Cambria Math"/>
            <w:color w:val="1F497D"/>
            <w:sz w:val="20"/>
            <w:szCs w:val="20"/>
            <w:lang w:val="en-IN"/>
          </w:rPr>
          <m:t>)=</m:t>
        </m:r>
        <m:r>
          <w:rPr>
            <w:rFonts w:ascii="Cambria Math" w:eastAsiaTheme="minorHAnsi" w:hAnsi="Cambria Math"/>
            <w:color w:val="1F497D"/>
            <w:sz w:val="20"/>
            <w:szCs w:val="20"/>
            <w:lang w:val="en-IN"/>
          </w:rPr>
          <m:t>P</m:t>
        </m:r>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s</m:t>
            </m:r>
          </m:e>
          <m:sub>
            <m:r>
              <w:rPr>
                <w:rFonts w:ascii="Cambria Math" w:eastAsiaTheme="minorHAnsi" w:hAnsi="Cambria Math"/>
                <w:color w:val="1F497D"/>
                <w:sz w:val="20"/>
                <w:szCs w:val="20"/>
                <w:lang w:val="en-IN"/>
              </w:rPr>
              <m:t>i</m:t>
            </m:r>
          </m:sub>
        </m:sSub>
        <m:r>
          <m:rPr>
            <m:sty m:val="p"/>
          </m:rPr>
          <w:rPr>
            <w:rFonts w:ascii="Cambria Math" w:eastAsiaTheme="minorHAnsi" w:hAnsi="Cambria Math"/>
            <w:color w:val="1F497D"/>
            <w:sz w:val="20"/>
            <w:szCs w:val="20"/>
            <w:lang w:val="en-IN"/>
          </w:rPr>
          <m:t>=</m:t>
        </m:r>
        <m:r>
          <w:rPr>
            <w:rFonts w:ascii="Cambria Math" w:eastAsiaTheme="minorHAnsi" w:hAnsi="Cambria Math"/>
            <w:color w:val="1F497D"/>
            <w:sz w:val="20"/>
            <w:szCs w:val="20"/>
            <w:lang w:val="en-IN"/>
          </w:rPr>
          <m:t>l</m:t>
        </m:r>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V</m:t>
            </m:r>
          </m:e>
          <m:sub>
            <m:r>
              <w:rPr>
                <w:rFonts w:ascii="Cambria Math" w:eastAsiaTheme="minorHAnsi" w:hAnsi="Cambria Math"/>
                <w:color w:val="1F497D"/>
                <w:sz w:val="20"/>
                <w:szCs w:val="20"/>
                <w:lang w:val="en-IN"/>
              </w:rPr>
              <m:t>L</m:t>
            </m:r>
          </m:sub>
        </m:sSub>
        <m:r>
          <m:rPr>
            <m:sty m:val="p"/>
          </m:rPr>
          <w:rPr>
            <w:rFonts w:ascii="Cambria Math" w:eastAsiaTheme="minorHAnsi" w:hAnsi="Cambria Math"/>
            <w:color w:val="1F497D"/>
            <w:sz w:val="20"/>
            <w:szCs w:val="20"/>
            <w:lang w:val="en-IN"/>
          </w:rPr>
          <m:t>)=</m:t>
        </m:r>
        <m:r>
          <w:rPr>
            <w:rFonts w:ascii="Cambria Math" w:eastAsiaTheme="minorHAnsi" w:hAnsi="Cambria Math"/>
            <w:color w:val="1F497D"/>
            <w:sz w:val="20"/>
            <w:szCs w:val="20"/>
            <w:lang w:val="en-IN"/>
          </w:rPr>
          <m:t>θ</m:t>
        </m:r>
        <m:r>
          <m:rPr>
            <m:sty m:val="p"/>
          </m:rPr>
          <w:rPr>
            <w:rFonts w:ascii="Cambria Math" w:eastAsiaTheme="minorHAnsi" w:hAnsi="Cambria Math"/>
            <w:color w:val="1F497D"/>
            <w:sz w:val="20"/>
            <w:szCs w:val="20"/>
            <w:lang w:val="en-IN"/>
          </w:rPr>
          <m:t>&gt;0.5</m:t>
        </m:r>
      </m:oMath>
      <w:r w:rsidRPr="0041215D">
        <w:rPr>
          <w:rFonts w:eastAsiaTheme="minorHAnsi"/>
          <w:color w:val="1F497D"/>
          <w:sz w:val="20"/>
          <w:szCs w:val="20"/>
          <w:lang w:val="en-IN"/>
        </w:rPr>
        <w:t xml:space="preserve">. Crucially, investor </w:t>
      </w:r>
      <m:oMath>
        <m:r>
          <w:rPr>
            <w:rFonts w:ascii="Cambria Math" w:eastAsiaTheme="minorHAnsi" w:hAnsi="Cambria Math"/>
            <w:color w:val="1F497D"/>
            <w:sz w:val="20"/>
            <w:szCs w:val="20"/>
            <w:lang w:val="en-IN"/>
          </w:rPr>
          <m:t>i</m:t>
        </m:r>
      </m:oMath>
      <w:r w:rsidRPr="0041215D">
        <w:rPr>
          <w:rFonts w:eastAsiaTheme="minorHAnsi"/>
          <w:color w:val="1F497D"/>
          <w:sz w:val="20"/>
          <w:szCs w:val="20"/>
          <w:lang w:val="en-IN"/>
        </w:rPr>
        <w:t xml:space="preserve"> also observes the public history of actions, </w:t>
      </w:r>
      <m:oMath>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H</m:t>
            </m:r>
          </m:e>
          <m:sub>
            <m:r>
              <w:rPr>
                <w:rFonts w:ascii="Cambria Math" w:eastAsiaTheme="minorHAnsi" w:hAnsi="Cambria Math"/>
                <w:color w:val="1F497D"/>
                <w:sz w:val="20"/>
                <w:szCs w:val="20"/>
                <w:lang w:val="en-IN"/>
              </w:rPr>
              <m:t>t</m:t>
            </m:r>
          </m:sub>
        </m:sSub>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a</m:t>
            </m:r>
          </m:e>
          <m:sub>
            <m:r>
              <m:rPr>
                <m:sty m:val="p"/>
              </m:rPr>
              <w:rPr>
                <w:rFonts w:ascii="Cambria Math" w:eastAsiaTheme="minorHAnsi" w:hAnsi="Cambria Math"/>
                <w:color w:val="1F497D"/>
                <w:sz w:val="20"/>
                <w:szCs w:val="20"/>
                <w:lang w:val="en-IN"/>
              </w:rPr>
              <m:t>1</m:t>
            </m:r>
          </m:sub>
        </m:sSub>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a</m:t>
            </m:r>
          </m:e>
          <m:sub>
            <m:r>
              <m:rPr>
                <m:sty m:val="p"/>
              </m:rPr>
              <w:rPr>
                <w:rFonts w:ascii="Cambria Math" w:eastAsiaTheme="minorHAnsi" w:hAnsi="Cambria Math"/>
                <w:color w:val="1F497D"/>
                <w:sz w:val="20"/>
                <w:szCs w:val="20"/>
                <w:lang w:val="en-IN"/>
              </w:rPr>
              <m:t>2</m:t>
            </m:r>
          </m:sub>
        </m:sSub>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a</m:t>
            </m:r>
          </m:e>
          <m:sub>
            <m:r>
              <w:rPr>
                <w:rFonts w:ascii="Cambria Math" w:eastAsiaTheme="minorHAnsi" w:hAnsi="Cambria Math"/>
                <w:color w:val="1F497D"/>
                <w:sz w:val="20"/>
                <w:szCs w:val="20"/>
                <w:lang w:val="en-IN"/>
              </w:rPr>
              <m:t>t</m:t>
            </m:r>
            <m:r>
              <m:rPr>
                <m:sty m:val="p"/>
              </m:rPr>
              <w:rPr>
                <w:rFonts w:ascii="Cambria Math" w:eastAsiaTheme="minorHAnsi" w:hAnsi="Cambria Math"/>
                <w:color w:val="1F497D"/>
                <w:sz w:val="20"/>
                <w:szCs w:val="20"/>
                <w:lang w:val="en-IN"/>
              </w:rPr>
              <m:t>-1</m:t>
            </m:r>
          </m:sub>
        </m:sSub>
        <m:r>
          <m:rPr>
            <m:sty m:val="p"/>
          </m:rPr>
          <w:rPr>
            <w:rFonts w:ascii="Cambria Math" w:eastAsiaTheme="minorHAnsi" w:hAnsi="Cambria Math"/>
            <w:color w:val="1F497D"/>
            <w:sz w:val="20"/>
            <w:szCs w:val="20"/>
            <w:lang w:val="en-IN"/>
          </w:rPr>
          <m:t>}</m:t>
        </m:r>
      </m:oMath>
      <w:r w:rsidRPr="0041215D">
        <w:rPr>
          <w:rFonts w:eastAsiaTheme="minorHAnsi"/>
          <w:color w:val="1F497D"/>
          <w:sz w:val="20"/>
          <w:szCs w:val="20"/>
          <w:lang w:val="en-IN"/>
        </w:rPr>
        <w:t xml:space="preserve">, where </w:t>
      </w:r>
      <m:oMath>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a</m:t>
            </m:r>
          </m:e>
          <m:sub>
            <m:r>
              <w:rPr>
                <w:rFonts w:ascii="Cambria Math" w:eastAsiaTheme="minorHAnsi" w:hAnsi="Cambria Math"/>
                <w:color w:val="1F497D"/>
                <w:sz w:val="20"/>
                <w:szCs w:val="20"/>
                <w:lang w:val="en-IN"/>
              </w:rPr>
              <m:t>j</m:t>
            </m:r>
          </m:sub>
        </m:sSub>
      </m:oMath>
      <w:r w:rsidRPr="0041215D">
        <w:rPr>
          <w:rFonts w:eastAsiaTheme="minorHAnsi"/>
          <w:color w:val="1F497D"/>
          <w:sz w:val="20"/>
          <w:szCs w:val="20"/>
          <w:lang w:val="en-IN"/>
        </w:rPr>
        <w:t xml:space="preserve"> is the action of investor </w:t>
      </w:r>
      <m:oMath>
        <m:r>
          <w:rPr>
            <w:rFonts w:ascii="Cambria Math" w:eastAsiaTheme="minorHAnsi" w:hAnsi="Cambria Math"/>
            <w:color w:val="1F497D"/>
            <w:sz w:val="20"/>
            <w:szCs w:val="20"/>
            <w:lang w:val="en-IN"/>
          </w:rPr>
          <m:t>j</m:t>
        </m:r>
      </m:oMath>
      <w:r w:rsidRPr="0041215D">
        <w:rPr>
          <w:rFonts w:eastAsiaTheme="minorHAnsi"/>
          <w:color w:val="1F497D"/>
          <w:sz w:val="20"/>
          <w:szCs w:val="20"/>
          <w:lang w:val="en-IN"/>
        </w:rPr>
        <w:t>.</w:t>
      </w:r>
    </w:p>
    <w:p w14:paraId="1F68667E" w14:textId="77777777" w:rsidR="0041215D" w:rsidRPr="0041215D" w:rsidRDefault="0041215D" w:rsidP="0041215D">
      <w:pPr>
        <w:pStyle w:val="BodyText"/>
        <w:jc w:val="both"/>
        <w:rPr>
          <w:rFonts w:eastAsiaTheme="minorHAnsi"/>
          <w:color w:val="1F497D"/>
          <w:sz w:val="20"/>
          <w:szCs w:val="20"/>
          <w:lang w:val="en-IN"/>
        </w:rPr>
      </w:pPr>
      <w:r w:rsidRPr="0041215D">
        <w:rPr>
          <w:rFonts w:eastAsiaTheme="minorHAnsi"/>
          <w:color w:val="1F497D"/>
          <w:sz w:val="20"/>
          <w:szCs w:val="20"/>
          <w:lang w:val="en-IN"/>
        </w:rPr>
        <w:t>An information cascade begins if the public history becomes so overwhelming that it rational for an investor to ignore their own private signal. The condition for a cascade is:</w:t>
      </w:r>
    </w:p>
    <w:p w14:paraId="0330A427" w14:textId="77777777" w:rsidR="0041215D" w:rsidRPr="0041215D" w:rsidRDefault="0041215D" w:rsidP="0041215D">
      <w:pPr>
        <w:pStyle w:val="BodyText"/>
        <w:jc w:val="both"/>
        <w:rPr>
          <w:rFonts w:eastAsiaTheme="minorHAnsi"/>
          <w:color w:val="1F497D"/>
          <w:sz w:val="20"/>
          <w:szCs w:val="20"/>
          <w:lang w:val="en-IN"/>
        </w:rPr>
      </w:pPr>
      <m:oMathPara>
        <m:oMathParaPr>
          <m:jc m:val="center"/>
        </m:oMathParaPr>
        <m:oMath>
          <m:f>
            <m:fPr>
              <m:ctrlPr>
                <w:rPr>
                  <w:rFonts w:ascii="Cambria Math" w:eastAsiaTheme="minorHAnsi" w:hAnsi="Cambria Math"/>
                  <w:color w:val="1F497D"/>
                  <w:sz w:val="20"/>
                  <w:szCs w:val="20"/>
                  <w:lang w:val="en-IN"/>
                </w:rPr>
              </m:ctrlPr>
            </m:fPr>
            <m:num>
              <m:r>
                <w:rPr>
                  <w:rFonts w:ascii="Cambria Math" w:eastAsiaTheme="minorHAnsi" w:hAnsi="Cambria Math"/>
                  <w:color w:val="1F497D"/>
                  <w:sz w:val="20"/>
                  <w:szCs w:val="20"/>
                  <w:lang w:val="en-IN"/>
                </w:rPr>
                <m:t>P</m:t>
              </m:r>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V</m:t>
                  </m:r>
                </m:e>
                <m:sub>
                  <m:r>
                    <w:rPr>
                      <w:rFonts w:ascii="Cambria Math" w:eastAsiaTheme="minorHAnsi" w:hAnsi="Cambria Math"/>
                      <w:color w:val="1F497D"/>
                      <w:sz w:val="20"/>
                      <w:szCs w:val="20"/>
                      <w:lang w:val="en-IN"/>
                    </w:rPr>
                    <m:t>H</m:t>
                  </m:r>
                </m:sub>
              </m:sSub>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H</m:t>
                  </m:r>
                </m:e>
                <m:sub>
                  <m:r>
                    <w:rPr>
                      <w:rFonts w:ascii="Cambria Math" w:eastAsiaTheme="minorHAnsi" w:hAnsi="Cambria Math"/>
                      <w:color w:val="1F497D"/>
                      <w:sz w:val="20"/>
                      <w:szCs w:val="20"/>
                      <w:lang w:val="en-IN"/>
                    </w:rPr>
                    <m:t>t</m:t>
                  </m:r>
                </m:sub>
              </m:sSub>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s</m:t>
                  </m:r>
                </m:e>
                <m:sub>
                  <m:r>
                    <w:rPr>
                      <w:rFonts w:ascii="Cambria Math" w:eastAsiaTheme="minorHAnsi" w:hAnsi="Cambria Math"/>
                      <w:color w:val="1F497D"/>
                      <w:sz w:val="20"/>
                      <w:szCs w:val="20"/>
                      <w:lang w:val="en-IN"/>
                    </w:rPr>
                    <m:t>i</m:t>
                  </m:r>
                </m:sub>
              </m:sSub>
              <m:r>
                <m:rPr>
                  <m:sty m:val="p"/>
                </m:rPr>
                <w:rPr>
                  <w:rFonts w:ascii="Cambria Math" w:eastAsiaTheme="minorHAnsi" w:hAnsi="Cambria Math"/>
                  <w:color w:val="1F497D"/>
                  <w:sz w:val="20"/>
                  <w:szCs w:val="20"/>
                  <w:lang w:val="en-IN"/>
                </w:rPr>
                <m:t>)</m:t>
              </m:r>
            </m:num>
            <m:den>
              <m:r>
                <w:rPr>
                  <w:rFonts w:ascii="Cambria Math" w:eastAsiaTheme="minorHAnsi" w:hAnsi="Cambria Math"/>
                  <w:color w:val="1F497D"/>
                  <w:sz w:val="20"/>
                  <w:szCs w:val="20"/>
                  <w:lang w:val="en-IN"/>
                </w:rPr>
                <m:t>P</m:t>
              </m:r>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V</m:t>
                  </m:r>
                </m:e>
                <m:sub>
                  <m:r>
                    <w:rPr>
                      <w:rFonts w:ascii="Cambria Math" w:eastAsiaTheme="minorHAnsi" w:hAnsi="Cambria Math"/>
                      <w:color w:val="1F497D"/>
                      <w:sz w:val="20"/>
                      <w:szCs w:val="20"/>
                      <w:lang w:val="en-IN"/>
                    </w:rPr>
                    <m:t>L</m:t>
                  </m:r>
                </m:sub>
              </m:sSub>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H</m:t>
                  </m:r>
                </m:e>
                <m:sub>
                  <m:r>
                    <w:rPr>
                      <w:rFonts w:ascii="Cambria Math" w:eastAsiaTheme="minorHAnsi" w:hAnsi="Cambria Math"/>
                      <w:color w:val="1F497D"/>
                      <w:sz w:val="20"/>
                      <w:szCs w:val="20"/>
                      <w:lang w:val="en-IN"/>
                    </w:rPr>
                    <m:t>t</m:t>
                  </m:r>
                </m:sub>
              </m:sSub>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s</m:t>
                  </m:r>
                </m:e>
                <m:sub>
                  <m:r>
                    <w:rPr>
                      <w:rFonts w:ascii="Cambria Math" w:eastAsiaTheme="minorHAnsi" w:hAnsi="Cambria Math"/>
                      <w:color w:val="1F497D"/>
                      <w:sz w:val="20"/>
                      <w:szCs w:val="20"/>
                      <w:lang w:val="en-IN"/>
                    </w:rPr>
                    <m:t>i</m:t>
                  </m:r>
                </m:sub>
              </m:sSub>
              <m:r>
                <m:rPr>
                  <m:sty m:val="p"/>
                </m:rPr>
                <w:rPr>
                  <w:rFonts w:ascii="Cambria Math" w:eastAsiaTheme="minorHAnsi" w:hAnsi="Cambria Math"/>
                  <w:color w:val="1F497D"/>
                  <w:sz w:val="20"/>
                  <w:szCs w:val="20"/>
                  <w:lang w:val="en-IN"/>
                </w:rPr>
                <m:t>)</m:t>
              </m:r>
            </m:den>
          </m:f>
          <m:r>
            <m:rPr>
              <m:sty m:val="p"/>
            </m:rPr>
            <w:rPr>
              <w:rFonts w:ascii="Cambria Math" w:eastAsiaTheme="minorHAnsi" w:hAnsi="Cambria Math"/>
              <w:color w:val="1F497D"/>
              <w:sz w:val="20"/>
              <w:szCs w:val="20"/>
              <w:lang w:val="en-IN"/>
            </w:rPr>
            <m:t>=</m:t>
          </m:r>
          <m:f>
            <m:fPr>
              <m:ctrlPr>
                <w:rPr>
                  <w:rFonts w:ascii="Cambria Math" w:eastAsiaTheme="minorHAnsi" w:hAnsi="Cambria Math"/>
                  <w:color w:val="1F497D"/>
                  <w:sz w:val="20"/>
                  <w:szCs w:val="20"/>
                  <w:lang w:val="en-IN"/>
                </w:rPr>
              </m:ctrlPr>
            </m:fPr>
            <m:num>
              <m:r>
                <w:rPr>
                  <w:rFonts w:ascii="Cambria Math" w:eastAsiaTheme="minorHAnsi" w:hAnsi="Cambria Math"/>
                  <w:color w:val="1F497D"/>
                  <w:sz w:val="20"/>
                  <w:szCs w:val="20"/>
                  <w:lang w:val="en-IN"/>
                </w:rPr>
                <m:t>P</m:t>
              </m:r>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H</m:t>
                  </m:r>
                </m:e>
                <m:sub>
                  <m:r>
                    <w:rPr>
                      <w:rFonts w:ascii="Cambria Math" w:eastAsiaTheme="minorHAnsi" w:hAnsi="Cambria Math"/>
                      <w:color w:val="1F497D"/>
                      <w:sz w:val="20"/>
                      <w:szCs w:val="20"/>
                      <w:lang w:val="en-IN"/>
                    </w:rPr>
                    <m:t>t</m:t>
                  </m:r>
                </m:sub>
              </m:sSub>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V</m:t>
                  </m:r>
                </m:e>
                <m:sub>
                  <m:r>
                    <w:rPr>
                      <w:rFonts w:ascii="Cambria Math" w:eastAsiaTheme="minorHAnsi" w:hAnsi="Cambria Math"/>
                      <w:color w:val="1F497D"/>
                      <w:sz w:val="20"/>
                      <w:szCs w:val="20"/>
                      <w:lang w:val="en-IN"/>
                    </w:rPr>
                    <m:t>H</m:t>
                  </m:r>
                </m:sub>
              </m:sSub>
              <m:r>
                <m:rPr>
                  <m:sty m:val="p"/>
                </m:rPr>
                <w:rPr>
                  <w:rFonts w:ascii="Cambria Math" w:eastAsiaTheme="minorHAnsi" w:hAnsi="Cambria Math"/>
                  <w:color w:val="1F497D"/>
                  <w:sz w:val="20"/>
                  <w:szCs w:val="20"/>
                  <w:lang w:val="en-IN"/>
                </w:rPr>
                <m:t>)</m:t>
              </m:r>
            </m:num>
            <m:den>
              <m:r>
                <w:rPr>
                  <w:rFonts w:ascii="Cambria Math" w:eastAsiaTheme="minorHAnsi" w:hAnsi="Cambria Math"/>
                  <w:color w:val="1F497D"/>
                  <w:sz w:val="20"/>
                  <w:szCs w:val="20"/>
                  <w:lang w:val="en-IN"/>
                </w:rPr>
                <m:t>P</m:t>
              </m:r>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H</m:t>
                  </m:r>
                </m:e>
                <m:sub>
                  <m:r>
                    <w:rPr>
                      <w:rFonts w:ascii="Cambria Math" w:eastAsiaTheme="minorHAnsi" w:hAnsi="Cambria Math"/>
                      <w:color w:val="1F497D"/>
                      <w:sz w:val="20"/>
                      <w:szCs w:val="20"/>
                      <w:lang w:val="en-IN"/>
                    </w:rPr>
                    <m:t>t</m:t>
                  </m:r>
                </m:sub>
              </m:sSub>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V</m:t>
                  </m:r>
                </m:e>
                <m:sub>
                  <m:r>
                    <w:rPr>
                      <w:rFonts w:ascii="Cambria Math" w:eastAsiaTheme="minorHAnsi" w:hAnsi="Cambria Math"/>
                      <w:color w:val="1F497D"/>
                      <w:sz w:val="20"/>
                      <w:szCs w:val="20"/>
                      <w:lang w:val="en-IN"/>
                    </w:rPr>
                    <m:t>L</m:t>
                  </m:r>
                </m:sub>
              </m:sSub>
              <m:r>
                <m:rPr>
                  <m:sty m:val="p"/>
                </m:rPr>
                <w:rPr>
                  <w:rFonts w:ascii="Cambria Math" w:eastAsiaTheme="minorHAnsi" w:hAnsi="Cambria Math"/>
                  <w:color w:val="1F497D"/>
                  <w:sz w:val="20"/>
                  <w:szCs w:val="20"/>
                  <w:lang w:val="en-IN"/>
                </w:rPr>
                <m:t>)</m:t>
              </m:r>
            </m:den>
          </m:f>
          <m:r>
            <m:rPr>
              <m:sty m:val="p"/>
            </m:rPr>
            <w:rPr>
              <w:rFonts w:ascii="Cambria Math" w:eastAsiaTheme="minorHAnsi" w:hAnsi="Cambria Math"/>
              <w:color w:val="1F497D"/>
              <w:sz w:val="20"/>
              <w:szCs w:val="20"/>
              <w:lang w:val="en-IN"/>
            </w:rPr>
            <m:t>⋅</m:t>
          </m:r>
          <m:f>
            <m:fPr>
              <m:ctrlPr>
                <w:rPr>
                  <w:rFonts w:ascii="Cambria Math" w:eastAsiaTheme="minorHAnsi" w:hAnsi="Cambria Math"/>
                  <w:color w:val="1F497D"/>
                  <w:sz w:val="20"/>
                  <w:szCs w:val="20"/>
                  <w:lang w:val="en-IN"/>
                </w:rPr>
              </m:ctrlPr>
            </m:fPr>
            <m:num>
              <m:r>
                <w:rPr>
                  <w:rFonts w:ascii="Cambria Math" w:eastAsiaTheme="minorHAnsi" w:hAnsi="Cambria Math"/>
                  <w:color w:val="1F497D"/>
                  <w:sz w:val="20"/>
                  <w:szCs w:val="20"/>
                  <w:lang w:val="en-IN"/>
                </w:rPr>
                <m:t>P</m:t>
              </m:r>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s</m:t>
                  </m:r>
                </m:e>
                <m:sub>
                  <m:r>
                    <w:rPr>
                      <w:rFonts w:ascii="Cambria Math" w:eastAsiaTheme="minorHAnsi" w:hAnsi="Cambria Math"/>
                      <w:color w:val="1F497D"/>
                      <w:sz w:val="20"/>
                      <w:szCs w:val="20"/>
                      <w:lang w:val="en-IN"/>
                    </w:rPr>
                    <m:t>i</m:t>
                  </m:r>
                </m:sub>
              </m:sSub>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V</m:t>
                  </m:r>
                </m:e>
                <m:sub>
                  <m:r>
                    <w:rPr>
                      <w:rFonts w:ascii="Cambria Math" w:eastAsiaTheme="minorHAnsi" w:hAnsi="Cambria Math"/>
                      <w:color w:val="1F497D"/>
                      <w:sz w:val="20"/>
                      <w:szCs w:val="20"/>
                      <w:lang w:val="en-IN"/>
                    </w:rPr>
                    <m:t>H</m:t>
                  </m:r>
                </m:sub>
              </m:sSub>
              <m:r>
                <m:rPr>
                  <m:sty m:val="p"/>
                </m:rPr>
                <w:rPr>
                  <w:rFonts w:ascii="Cambria Math" w:eastAsiaTheme="minorHAnsi" w:hAnsi="Cambria Math"/>
                  <w:color w:val="1F497D"/>
                  <w:sz w:val="20"/>
                  <w:szCs w:val="20"/>
                  <w:lang w:val="en-IN"/>
                </w:rPr>
                <m:t>)</m:t>
              </m:r>
            </m:num>
            <m:den>
              <m:r>
                <w:rPr>
                  <w:rFonts w:ascii="Cambria Math" w:eastAsiaTheme="minorHAnsi" w:hAnsi="Cambria Math"/>
                  <w:color w:val="1F497D"/>
                  <w:sz w:val="20"/>
                  <w:szCs w:val="20"/>
                  <w:lang w:val="en-IN"/>
                </w:rPr>
                <m:t>P</m:t>
              </m:r>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s</m:t>
                  </m:r>
                </m:e>
                <m:sub>
                  <m:r>
                    <w:rPr>
                      <w:rFonts w:ascii="Cambria Math" w:eastAsiaTheme="minorHAnsi" w:hAnsi="Cambria Math"/>
                      <w:color w:val="1F497D"/>
                      <w:sz w:val="20"/>
                      <w:szCs w:val="20"/>
                      <w:lang w:val="en-IN"/>
                    </w:rPr>
                    <m:t>i</m:t>
                  </m:r>
                </m:sub>
              </m:sSub>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V</m:t>
                  </m:r>
                </m:e>
                <m:sub>
                  <m:r>
                    <w:rPr>
                      <w:rFonts w:ascii="Cambria Math" w:eastAsiaTheme="minorHAnsi" w:hAnsi="Cambria Math"/>
                      <w:color w:val="1F497D"/>
                      <w:sz w:val="20"/>
                      <w:szCs w:val="20"/>
                      <w:lang w:val="en-IN"/>
                    </w:rPr>
                    <m:t>L</m:t>
                  </m:r>
                </m:sub>
              </m:sSub>
              <m:r>
                <m:rPr>
                  <m:sty m:val="p"/>
                </m:rPr>
                <w:rPr>
                  <w:rFonts w:ascii="Cambria Math" w:eastAsiaTheme="minorHAnsi" w:hAnsi="Cambria Math"/>
                  <w:color w:val="1F497D"/>
                  <w:sz w:val="20"/>
                  <w:szCs w:val="20"/>
                  <w:lang w:val="en-IN"/>
                </w:rPr>
                <m:t>)</m:t>
              </m:r>
            </m:den>
          </m:f>
          <m:d>
            <m:dPr>
              <m:begChr m:val="{"/>
              <m:endChr m:val=""/>
              <m:ctrlPr>
                <w:rPr>
                  <w:rFonts w:ascii="Cambria Math" w:eastAsiaTheme="minorHAnsi" w:hAnsi="Cambria Math"/>
                  <w:color w:val="1F497D"/>
                  <w:sz w:val="20"/>
                  <w:szCs w:val="20"/>
                  <w:lang w:val="en-IN"/>
                </w:rPr>
              </m:ctrlPr>
            </m:dPr>
            <m:e>
              <m:m>
                <m:mPr>
                  <m:plcHide m:val="1"/>
                  <m:mcs>
                    <m:mc>
                      <m:mcPr>
                        <m:count m:val="2"/>
                        <m:mcJc m:val="left"/>
                      </m:mcPr>
                    </m:mc>
                  </m:mcs>
                  <m:ctrlPr>
                    <w:rPr>
                      <w:rFonts w:ascii="Cambria Math" w:eastAsiaTheme="minorHAnsi" w:hAnsi="Cambria Math"/>
                      <w:color w:val="1F497D"/>
                      <w:sz w:val="20"/>
                      <w:szCs w:val="20"/>
                      <w:lang w:val="en-IN"/>
                    </w:rPr>
                  </m:ctrlPr>
                </m:mPr>
                <m:mr>
                  <m:e>
                    <m:r>
                      <m:rPr>
                        <m:sty m:val="p"/>
                      </m:rPr>
                      <w:rPr>
                        <w:rFonts w:ascii="Cambria Math" w:eastAsiaTheme="minorHAnsi" w:hAnsi="Cambria Math"/>
                        <w:color w:val="1F497D"/>
                        <w:sz w:val="20"/>
                        <w:szCs w:val="20"/>
                        <w:lang w:val="en-IN"/>
                      </w:rPr>
                      <m:t>&lt;</m:t>
                    </m:r>
                    <m:r>
                      <w:rPr>
                        <w:rFonts w:ascii="Cambria Math" w:eastAsiaTheme="minorHAnsi" w:hAnsi="Cambria Math"/>
                        <w:color w:val="1F497D"/>
                        <w:sz w:val="20"/>
                        <w:szCs w:val="20"/>
                        <w:lang w:val="en-IN"/>
                      </w:rPr>
                      <m:t>τ</m:t>
                    </m:r>
                  </m:e>
                  <m:e>
                    <m:r>
                      <m:rPr>
                        <m:nor/>
                      </m:rPr>
                      <w:rPr>
                        <w:rFonts w:eastAsiaTheme="minorHAnsi"/>
                        <w:color w:val="1F497D"/>
                        <w:sz w:val="20"/>
                        <w:szCs w:val="20"/>
                        <w:lang w:val="en-IN"/>
                      </w:rPr>
                      <m:t>triggering a Sell cascade</m:t>
                    </m:r>
                  </m:e>
                </m:mr>
                <m:mr>
                  <m:e>
                    <m:r>
                      <m:rPr>
                        <m:sty m:val="p"/>
                      </m:rPr>
                      <w:rPr>
                        <w:rFonts w:ascii="Cambria Math" w:eastAsiaTheme="minorHAnsi" w:hAnsi="Cambria Math"/>
                        <w:color w:val="1F497D"/>
                        <w:sz w:val="20"/>
                        <w:szCs w:val="20"/>
                        <w:lang w:val="en-IN"/>
                      </w:rPr>
                      <m:t>&gt;</m:t>
                    </m:r>
                    <m:f>
                      <m:fPr>
                        <m:ctrlPr>
                          <w:rPr>
                            <w:rFonts w:ascii="Cambria Math" w:eastAsiaTheme="minorHAnsi" w:hAnsi="Cambria Math"/>
                            <w:color w:val="1F497D"/>
                            <w:sz w:val="20"/>
                            <w:szCs w:val="20"/>
                            <w:lang w:val="en-IN"/>
                          </w:rPr>
                        </m:ctrlPr>
                      </m:fPr>
                      <m:num>
                        <m:r>
                          <m:rPr>
                            <m:sty m:val="p"/>
                          </m:rPr>
                          <w:rPr>
                            <w:rFonts w:ascii="Cambria Math" w:eastAsiaTheme="minorHAnsi" w:hAnsi="Cambria Math"/>
                            <w:color w:val="1F497D"/>
                            <w:sz w:val="20"/>
                            <w:szCs w:val="20"/>
                            <w:lang w:val="en-IN"/>
                          </w:rPr>
                          <m:t>1</m:t>
                        </m:r>
                      </m:num>
                      <m:den>
                        <m:r>
                          <w:rPr>
                            <w:rFonts w:ascii="Cambria Math" w:eastAsiaTheme="minorHAnsi" w:hAnsi="Cambria Math"/>
                            <w:color w:val="1F497D"/>
                            <w:sz w:val="20"/>
                            <w:szCs w:val="20"/>
                            <w:lang w:val="en-IN"/>
                          </w:rPr>
                          <m:t>τ</m:t>
                        </m:r>
                      </m:den>
                    </m:f>
                  </m:e>
                  <m:e>
                    <m:r>
                      <m:rPr>
                        <m:nor/>
                      </m:rPr>
                      <w:rPr>
                        <w:rFonts w:eastAsiaTheme="minorHAnsi"/>
                        <w:color w:val="1F497D"/>
                        <w:sz w:val="20"/>
                        <w:szCs w:val="20"/>
                        <w:lang w:val="en-IN"/>
                      </w:rPr>
                      <m:t>triggering a Buy cascade</m:t>
                    </m:r>
                  </m:e>
                </m:mr>
              </m:m>
            </m:e>
          </m:d>
        </m:oMath>
      </m:oMathPara>
    </w:p>
    <w:p w14:paraId="7C161E5E" w14:textId="77777777" w:rsidR="0041215D" w:rsidRPr="0041215D" w:rsidRDefault="0041215D" w:rsidP="0041215D">
      <w:pPr>
        <w:pStyle w:val="FirstParagraph"/>
        <w:spacing w:after="0"/>
        <w:jc w:val="both"/>
        <w:rPr>
          <w:rFonts w:cs="Times New Roman"/>
          <w:color w:val="1F497D"/>
          <w:sz w:val="20"/>
          <w:szCs w:val="20"/>
          <w:lang w:val="en-IN"/>
        </w:rPr>
      </w:pPr>
      <w:r w:rsidRPr="0041215D">
        <w:rPr>
          <w:rFonts w:cs="Times New Roman"/>
          <w:color w:val="1F497D"/>
          <w:sz w:val="20"/>
          <w:szCs w:val="20"/>
          <w:lang w:val="en-IN"/>
        </w:rPr>
        <w:t xml:space="preserve">where </w:t>
      </w:r>
      <m:oMath>
        <m:r>
          <w:rPr>
            <w:rFonts w:ascii="Cambria Math" w:hAnsi="Cambria Math" w:cs="Times New Roman"/>
            <w:color w:val="1F497D"/>
            <w:sz w:val="20"/>
            <w:szCs w:val="20"/>
            <w:lang w:val="en-IN"/>
          </w:rPr>
          <m:t>τ</m:t>
        </m:r>
      </m:oMath>
      <w:r w:rsidRPr="0041215D">
        <w:rPr>
          <w:rFonts w:cs="Times New Roman"/>
          <w:color w:val="1F497D"/>
          <w:sz w:val="20"/>
          <w:szCs w:val="20"/>
          <w:lang w:val="en-IN"/>
        </w:rPr>
        <w:t xml:space="preserve"> is a threshold derived from transaction costs and risk preferences.</w:t>
      </w:r>
    </w:p>
    <w:p w14:paraId="2BBABDAA" w14:textId="77777777" w:rsidR="0041215D" w:rsidRDefault="0041215D" w:rsidP="0041215D">
      <w:pPr>
        <w:pStyle w:val="BodyText"/>
        <w:jc w:val="both"/>
        <w:rPr>
          <w:rFonts w:eastAsiaTheme="minorHAnsi"/>
          <w:color w:val="1F497D"/>
          <w:sz w:val="20"/>
          <w:szCs w:val="20"/>
          <w:lang w:val="en-IN"/>
        </w:rPr>
      </w:pPr>
    </w:p>
    <w:p w14:paraId="7797F0D0" w14:textId="3F549A93" w:rsidR="0041215D" w:rsidRPr="0041215D" w:rsidRDefault="0041215D" w:rsidP="0041215D">
      <w:pPr>
        <w:pStyle w:val="BodyText"/>
        <w:jc w:val="both"/>
        <w:rPr>
          <w:rFonts w:eastAsiaTheme="minorHAnsi"/>
          <w:color w:val="1F497D"/>
          <w:sz w:val="20"/>
          <w:szCs w:val="20"/>
          <w:lang w:val="en-IN"/>
        </w:rPr>
      </w:pPr>
      <w:r w:rsidRPr="0041215D">
        <w:rPr>
          <w:rFonts w:eastAsiaTheme="minorHAnsi"/>
          <w:color w:val="1F497D"/>
          <w:sz w:val="20"/>
          <w:szCs w:val="20"/>
          <w:lang w:val="en-IN"/>
        </w:rPr>
        <w:t>Crisis Amplification: In a crisis, a series of sell orders (</w:t>
      </w:r>
      <m:oMath>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H</m:t>
            </m:r>
          </m:e>
          <m:sub>
            <m:r>
              <w:rPr>
                <w:rFonts w:ascii="Cambria Math" w:eastAsiaTheme="minorHAnsi" w:hAnsi="Cambria Math"/>
                <w:color w:val="1F497D"/>
                <w:sz w:val="20"/>
                <w:szCs w:val="20"/>
                <w:lang w:val="en-IN"/>
              </w:rPr>
              <m:t>t</m:t>
            </m:r>
          </m:sub>
        </m:sSub>
      </m:oMath>
      <w:r w:rsidRPr="0041215D">
        <w:rPr>
          <w:rFonts w:eastAsiaTheme="minorHAnsi"/>
          <w:color w:val="1F497D"/>
          <w:sz w:val="20"/>
          <w:szCs w:val="20"/>
          <w:lang w:val="en-IN"/>
        </w:rPr>
        <w:t xml:space="preserve"> dominated by S) can trigger a cascade where even investors </w:t>
      </w:r>
      <w:r w:rsidRPr="0041215D">
        <w:rPr>
          <w:rFonts w:eastAsiaTheme="minorHAnsi"/>
          <w:color w:val="1F497D"/>
          <w:sz w:val="20"/>
          <w:szCs w:val="20"/>
          <w:lang w:val="en-IN"/>
        </w:rPr>
        <w:lastRenderedPageBreak/>
        <w:t>with positive private signals (</w:t>
      </w:r>
      <m:oMath>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s</m:t>
            </m:r>
          </m:e>
          <m:sub>
            <m:r>
              <w:rPr>
                <w:rFonts w:ascii="Cambria Math" w:eastAsiaTheme="minorHAnsi" w:hAnsi="Cambria Math"/>
                <w:color w:val="1F497D"/>
                <w:sz w:val="20"/>
                <w:szCs w:val="20"/>
                <w:lang w:val="en-IN"/>
              </w:rPr>
              <m:t>i</m:t>
            </m:r>
          </m:sub>
        </m:sSub>
        <m:r>
          <m:rPr>
            <m:sty m:val="p"/>
          </m:rPr>
          <w:rPr>
            <w:rFonts w:ascii="Cambria Math" w:eastAsiaTheme="minorHAnsi" w:hAnsi="Cambria Math"/>
            <w:color w:val="1F497D"/>
            <w:sz w:val="20"/>
            <w:szCs w:val="20"/>
            <w:lang w:val="en-IN"/>
          </w:rPr>
          <m:t>=</m:t>
        </m:r>
        <m:r>
          <w:rPr>
            <w:rFonts w:ascii="Cambria Math" w:eastAsiaTheme="minorHAnsi" w:hAnsi="Cambria Math"/>
            <w:color w:val="1F497D"/>
            <w:sz w:val="20"/>
            <w:szCs w:val="20"/>
            <w:lang w:val="en-IN"/>
          </w:rPr>
          <m:t>h</m:t>
        </m:r>
      </m:oMath>
      <w:r w:rsidRPr="0041215D">
        <w:rPr>
          <w:rFonts w:eastAsiaTheme="minorHAnsi"/>
          <w:color w:val="1F497D"/>
          <w:sz w:val="20"/>
          <w:szCs w:val="20"/>
          <w:lang w:val="en-IN"/>
        </w:rPr>
        <w:t>) rationally choose to sell. This rational herding can be distinguished from irrational herding (or "mimicking"), where the utility function is modified to include a social component:</w:t>
      </w:r>
    </w:p>
    <w:p w14:paraId="1AFE454A" w14:textId="77777777" w:rsidR="0041215D" w:rsidRPr="0041215D" w:rsidRDefault="0041215D" w:rsidP="0041215D">
      <w:pPr>
        <w:pStyle w:val="BodyText"/>
        <w:jc w:val="both"/>
        <w:rPr>
          <w:rFonts w:eastAsiaTheme="minorHAnsi"/>
          <w:color w:val="1F497D"/>
          <w:sz w:val="20"/>
          <w:szCs w:val="20"/>
          <w:lang w:val="en-IN"/>
        </w:rPr>
      </w:pPr>
      <m:oMathPara>
        <m:oMathParaPr>
          <m:jc m:val="center"/>
        </m:oMathParaPr>
        <m:oMath>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U</m:t>
              </m:r>
            </m:e>
            <m:sub>
              <m:r>
                <w:rPr>
                  <w:rFonts w:ascii="Cambria Math" w:eastAsiaTheme="minorHAnsi" w:hAnsi="Cambria Math"/>
                  <w:color w:val="1F497D"/>
                  <w:sz w:val="20"/>
                  <w:szCs w:val="20"/>
                  <w:lang w:val="en-IN"/>
                </w:rPr>
                <m:t>i</m:t>
              </m:r>
            </m:sub>
          </m:sSub>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a</m:t>
              </m:r>
            </m:e>
            <m:sub>
              <m:r>
                <w:rPr>
                  <w:rFonts w:ascii="Cambria Math" w:eastAsiaTheme="minorHAnsi" w:hAnsi="Cambria Math"/>
                  <w:color w:val="1F497D"/>
                  <w:sz w:val="20"/>
                  <w:szCs w:val="20"/>
                  <w:lang w:val="en-IN"/>
                </w:rPr>
                <m:t>i</m:t>
              </m:r>
            </m:sub>
          </m:sSub>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U</m:t>
              </m:r>
            </m:e>
            <m:sub>
              <m:r>
                <m:rPr>
                  <m:nor/>
                </m:rPr>
                <w:rPr>
                  <w:rFonts w:eastAsiaTheme="minorHAnsi"/>
                  <w:color w:val="1F497D"/>
                  <w:sz w:val="20"/>
                  <w:szCs w:val="20"/>
                  <w:lang w:val="en-IN"/>
                </w:rPr>
                <m:t>financial</m:t>
              </m:r>
            </m:sub>
          </m:sSub>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a</m:t>
              </m:r>
            </m:e>
            <m:sub>
              <m:r>
                <w:rPr>
                  <w:rFonts w:ascii="Cambria Math" w:eastAsiaTheme="minorHAnsi" w:hAnsi="Cambria Math"/>
                  <w:color w:val="1F497D"/>
                  <w:sz w:val="20"/>
                  <w:szCs w:val="20"/>
                  <w:lang w:val="en-IN"/>
                </w:rPr>
                <m:t>i</m:t>
              </m:r>
            </m:sub>
          </m:sSub>
          <m:r>
            <m:rPr>
              <m:sty m:val="p"/>
            </m:rPr>
            <w:rPr>
              <w:rFonts w:ascii="Cambria Math" w:eastAsiaTheme="minorHAnsi" w:hAnsi="Cambria Math"/>
              <w:color w:val="1F497D"/>
              <w:sz w:val="20"/>
              <w:szCs w:val="20"/>
              <w:lang w:val="en-IN"/>
            </w:rPr>
            <m:t>)+</m:t>
          </m:r>
          <m:r>
            <w:rPr>
              <w:rFonts w:ascii="Cambria Math" w:eastAsiaTheme="minorHAnsi" w:hAnsi="Cambria Math"/>
              <w:color w:val="1F497D"/>
              <w:sz w:val="20"/>
              <w:szCs w:val="20"/>
              <w:lang w:val="en-IN"/>
            </w:rPr>
            <m:t>γ</m:t>
          </m:r>
          <m:r>
            <m:rPr>
              <m:scr m:val="double-struck"/>
              <m:sty m:val="p"/>
            </m:rPr>
            <w:rPr>
              <w:rFonts w:ascii="Cambria Math" w:eastAsiaTheme="minorHAnsi" w:hAnsi="Cambria Math"/>
              <w:color w:val="1F497D"/>
              <w:sz w:val="20"/>
              <w:szCs w:val="20"/>
              <w:lang w:val="en-IN"/>
            </w:rPr>
            <m:t>⋅I(</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a</m:t>
              </m:r>
            </m:e>
            <m:sub>
              <m:r>
                <w:rPr>
                  <w:rFonts w:ascii="Cambria Math" w:eastAsiaTheme="minorHAnsi" w:hAnsi="Cambria Math"/>
                  <w:color w:val="1F497D"/>
                  <w:sz w:val="20"/>
                  <w:szCs w:val="20"/>
                  <w:lang w:val="en-IN"/>
                </w:rPr>
                <m:t>i</m:t>
              </m:r>
            </m:sub>
          </m:sSub>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a</m:t>
              </m:r>
            </m:e>
            <m:sub>
              <m:r>
                <m:rPr>
                  <m:nor/>
                </m:rPr>
                <w:rPr>
                  <w:rFonts w:eastAsiaTheme="minorHAnsi"/>
                  <w:color w:val="1F497D"/>
                  <w:sz w:val="20"/>
                  <w:szCs w:val="20"/>
                  <w:lang w:val="en-IN"/>
                </w:rPr>
                <m:t>majority</m:t>
              </m:r>
            </m:sub>
          </m:sSub>
          <m:r>
            <m:rPr>
              <m:sty m:val="p"/>
            </m:rPr>
            <w:rPr>
              <w:rFonts w:ascii="Cambria Math" w:eastAsiaTheme="minorHAnsi" w:hAnsi="Cambria Math"/>
              <w:color w:val="1F497D"/>
              <w:sz w:val="20"/>
              <w:szCs w:val="20"/>
              <w:lang w:val="en-IN"/>
            </w:rPr>
            <m:t>)</m:t>
          </m:r>
        </m:oMath>
      </m:oMathPara>
    </w:p>
    <w:p w14:paraId="27B4E6C0" w14:textId="77777777" w:rsidR="0041215D" w:rsidRPr="0041215D" w:rsidRDefault="0041215D" w:rsidP="0041215D">
      <w:pPr>
        <w:pStyle w:val="FirstParagraph"/>
        <w:spacing w:after="0"/>
        <w:jc w:val="both"/>
        <w:rPr>
          <w:rFonts w:cs="Times New Roman"/>
          <w:color w:val="1F497D"/>
          <w:sz w:val="20"/>
          <w:szCs w:val="20"/>
          <w:lang w:val="en-IN"/>
        </w:rPr>
      </w:pPr>
      <w:r w:rsidRPr="0041215D">
        <w:rPr>
          <w:rFonts w:cs="Times New Roman"/>
          <w:color w:val="1F497D"/>
          <w:sz w:val="20"/>
          <w:szCs w:val="20"/>
          <w:lang w:val="en-IN"/>
        </w:rPr>
        <w:t xml:space="preserve">where </w:t>
      </w:r>
      <m:oMath>
        <m:r>
          <w:rPr>
            <w:rFonts w:ascii="Cambria Math" w:hAnsi="Cambria Math" w:cs="Times New Roman"/>
            <w:color w:val="1F497D"/>
            <w:sz w:val="20"/>
            <w:szCs w:val="20"/>
            <w:lang w:val="en-IN"/>
          </w:rPr>
          <m:t>γ</m:t>
        </m:r>
      </m:oMath>
      <w:r w:rsidRPr="0041215D">
        <w:rPr>
          <w:rFonts w:cs="Times New Roman"/>
          <w:color w:val="1F497D"/>
          <w:sz w:val="20"/>
          <w:szCs w:val="20"/>
          <w:lang w:val="en-IN"/>
        </w:rPr>
        <w:t xml:space="preserve"> is a conformity parameter that spikes during periods of high uncertainty, as documented by [11].</w:t>
      </w:r>
    </w:p>
    <w:p w14:paraId="5B840E0B" w14:textId="77777777" w:rsidR="0041215D" w:rsidRDefault="0041215D" w:rsidP="0041215D">
      <w:pPr>
        <w:pStyle w:val="BodyText"/>
        <w:jc w:val="both"/>
        <w:rPr>
          <w:rFonts w:eastAsiaTheme="minorHAnsi"/>
          <w:color w:val="1F497D"/>
          <w:sz w:val="20"/>
          <w:szCs w:val="20"/>
          <w:lang w:val="en-IN"/>
        </w:rPr>
      </w:pPr>
    </w:p>
    <w:p w14:paraId="6205166F" w14:textId="360AE871" w:rsidR="0041215D" w:rsidRPr="0041215D" w:rsidRDefault="0041215D" w:rsidP="0041215D">
      <w:pPr>
        <w:pStyle w:val="BodyText"/>
        <w:jc w:val="both"/>
        <w:rPr>
          <w:rFonts w:eastAsiaTheme="minorHAnsi"/>
          <w:b/>
          <w:bCs/>
          <w:color w:val="1F497D"/>
          <w:sz w:val="20"/>
          <w:szCs w:val="20"/>
          <w:lang w:val="en-IN"/>
        </w:rPr>
      </w:pPr>
      <w:r w:rsidRPr="0041215D">
        <w:rPr>
          <w:rFonts w:eastAsiaTheme="minorHAnsi"/>
          <w:b/>
          <w:bCs/>
          <w:color w:val="1F497D"/>
          <w:sz w:val="20"/>
          <w:szCs w:val="20"/>
          <w:lang w:val="en-IN"/>
        </w:rPr>
        <w:t>3.3 Overconfidence and Volatility Feedback</w:t>
      </w:r>
    </w:p>
    <w:p w14:paraId="783A937C" w14:textId="77777777" w:rsidR="0041215D" w:rsidRPr="0041215D" w:rsidRDefault="0041215D" w:rsidP="0041215D">
      <w:pPr>
        <w:pStyle w:val="BodyText"/>
        <w:jc w:val="both"/>
        <w:rPr>
          <w:rFonts w:eastAsiaTheme="minorHAnsi"/>
          <w:color w:val="1F497D"/>
          <w:sz w:val="20"/>
          <w:szCs w:val="20"/>
          <w:lang w:val="en-IN"/>
        </w:rPr>
      </w:pPr>
      <w:r w:rsidRPr="0041215D">
        <w:rPr>
          <w:rFonts w:eastAsiaTheme="minorHAnsi"/>
          <w:color w:val="1F497D"/>
          <w:sz w:val="20"/>
          <w:szCs w:val="20"/>
          <w:lang w:val="en-IN"/>
        </w:rPr>
        <w:t xml:space="preserve">Overconfidence can be modeled in two ways: overprecision (overestimating the accuracy of one's information) and overestimation (overestimating one's ability). We focus on overprecision. An overconfident investor updates their beliefs about an asset's value, </w:t>
      </w:r>
      <m:oMath>
        <m:r>
          <w:rPr>
            <w:rFonts w:ascii="Cambria Math" w:eastAsiaTheme="minorHAnsi" w:hAnsi="Cambria Math"/>
            <w:color w:val="1F497D"/>
            <w:sz w:val="20"/>
            <w:szCs w:val="20"/>
            <w:lang w:val="en-IN"/>
          </w:rPr>
          <m:t>V</m:t>
        </m:r>
      </m:oMath>
      <w:r w:rsidRPr="0041215D">
        <w:rPr>
          <w:rFonts w:eastAsiaTheme="minorHAnsi"/>
          <w:color w:val="1F497D"/>
          <w:sz w:val="20"/>
          <w:szCs w:val="20"/>
          <w:lang w:val="en-IN"/>
        </w:rPr>
        <w:t xml:space="preserve">, upon receiving a signal </w:t>
      </w:r>
      <m:oMath>
        <m:r>
          <w:rPr>
            <w:rFonts w:ascii="Cambria Math" w:eastAsiaTheme="minorHAnsi" w:hAnsi="Cambria Math"/>
            <w:color w:val="1F497D"/>
            <w:sz w:val="20"/>
            <w:szCs w:val="20"/>
            <w:lang w:val="en-IN"/>
          </w:rPr>
          <m:t>s</m:t>
        </m:r>
      </m:oMath>
      <w:r w:rsidRPr="0041215D">
        <w:rPr>
          <w:rFonts w:eastAsiaTheme="minorHAnsi"/>
          <w:color w:val="1F497D"/>
          <w:sz w:val="20"/>
          <w:szCs w:val="20"/>
          <w:lang w:val="en-IN"/>
        </w:rPr>
        <w:t xml:space="preserve"> using an incorrect likelihood function. If the true signal precision is </w:t>
      </w:r>
      <m:oMath>
        <m:r>
          <w:rPr>
            <w:rFonts w:ascii="Cambria Math" w:eastAsiaTheme="minorHAnsi" w:hAnsi="Cambria Math"/>
            <w:color w:val="1F497D"/>
            <w:sz w:val="20"/>
            <w:szCs w:val="20"/>
            <w:lang w:val="en-IN"/>
          </w:rPr>
          <m:t>θ</m:t>
        </m:r>
      </m:oMath>
      <w:r w:rsidRPr="0041215D">
        <w:rPr>
          <w:rFonts w:eastAsiaTheme="minorHAnsi"/>
          <w:color w:val="1F497D"/>
          <w:sz w:val="20"/>
          <w:szCs w:val="20"/>
          <w:lang w:val="en-IN"/>
        </w:rPr>
        <w:t xml:space="preserve">, the overconfident investor believes it to be </w:t>
      </w:r>
      <m:oMath>
        <m:acc>
          <m:accPr>
            <m:ctrlPr>
              <w:rPr>
                <w:rFonts w:ascii="Cambria Math" w:eastAsiaTheme="minorHAnsi" w:hAnsi="Cambria Math"/>
                <w:color w:val="1F497D"/>
                <w:sz w:val="20"/>
                <w:szCs w:val="20"/>
                <w:lang w:val="en-IN"/>
              </w:rPr>
            </m:ctrlPr>
          </m:accPr>
          <m:e>
            <m:r>
              <w:rPr>
                <w:rFonts w:ascii="Cambria Math" w:eastAsiaTheme="minorHAnsi" w:hAnsi="Cambria Math"/>
                <w:color w:val="1F497D"/>
                <w:sz w:val="20"/>
                <w:szCs w:val="20"/>
                <w:lang w:val="en-IN"/>
              </w:rPr>
              <m:t>θ</m:t>
            </m:r>
          </m:e>
        </m:acc>
        <m:r>
          <m:rPr>
            <m:sty m:val="p"/>
          </m:rPr>
          <w:rPr>
            <w:rFonts w:ascii="Cambria Math" w:eastAsiaTheme="minorHAnsi" w:hAnsi="Cambria Math"/>
            <w:color w:val="1F497D"/>
            <w:sz w:val="20"/>
            <w:szCs w:val="20"/>
            <w:lang w:val="en-IN"/>
          </w:rPr>
          <m:t>&gt;</m:t>
        </m:r>
        <m:r>
          <w:rPr>
            <w:rFonts w:ascii="Cambria Math" w:eastAsiaTheme="minorHAnsi" w:hAnsi="Cambria Math"/>
            <w:color w:val="1F497D"/>
            <w:sz w:val="20"/>
            <w:szCs w:val="20"/>
            <w:lang w:val="en-IN"/>
          </w:rPr>
          <m:t>θ</m:t>
        </m:r>
      </m:oMath>
      <w:r w:rsidRPr="0041215D">
        <w:rPr>
          <w:rFonts w:eastAsiaTheme="minorHAnsi"/>
          <w:color w:val="1F497D"/>
          <w:sz w:val="20"/>
          <w:szCs w:val="20"/>
          <w:lang w:val="en-IN"/>
        </w:rPr>
        <w:t>.</w:t>
      </w:r>
    </w:p>
    <w:p w14:paraId="60A66C0B" w14:textId="77777777" w:rsidR="0041215D" w:rsidRDefault="0041215D" w:rsidP="0041215D">
      <w:pPr>
        <w:pStyle w:val="BodyText"/>
        <w:jc w:val="both"/>
        <w:rPr>
          <w:rFonts w:eastAsiaTheme="minorHAnsi"/>
          <w:color w:val="1F497D"/>
          <w:sz w:val="20"/>
          <w:szCs w:val="20"/>
          <w:lang w:val="en-IN"/>
        </w:rPr>
      </w:pPr>
    </w:p>
    <w:p w14:paraId="7A390337" w14:textId="741B9169" w:rsidR="0041215D" w:rsidRPr="0041215D" w:rsidRDefault="0041215D" w:rsidP="0041215D">
      <w:pPr>
        <w:pStyle w:val="BodyText"/>
        <w:jc w:val="both"/>
        <w:rPr>
          <w:rFonts w:eastAsiaTheme="minorHAnsi"/>
          <w:color w:val="1F497D"/>
          <w:sz w:val="20"/>
          <w:szCs w:val="20"/>
          <w:lang w:val="en-IN"/>
        </w:rPr>
      </w:pPr>
      <w:r w:rsidRPr="0041215D">
        <w:rPr>
          <w:rFonts w:eastAsiaTheme="minorHAnsi"/>
          <w:color w:val="1F497D"/>
          <w:sz w:val="20"/>
          <w:szCs w:val="20"/>
          <w:lang w:val="en-IN"/>
        </w:rPr>
        <w:t xml:space="preserve">Using Bayesian updating, the perceived posterior mean after signal </w:t>
      </w:r>
      <m:oMath>
        <m:r>
          <w:rPr>
            <w:rFonts w:ascii="Cambria Math" w:eastAsiaTheme="minorHAnsi" w:hAnsi="Cambria Math"/>
            <w:color w:val="1F497D"/>
            <w:sz w:val="20"/>
            <w:szCs w:val="20"/>
            <w:lang w:val="en-IN"/>
          </w:rPr>
          <m:t>s</m:t>
        </m:r>
        <m:r>
          <m:rPr>
            <m:sty m:val="p"/>
          </m:rPr>
          <w:rPr>
            <w:rFonts w:ascii="Cambria Math" w:eastAsiaTheme="minorHAnsi" w:hAnsi="Cambria Math"/>
            <w:color w:val="1F497D"/>
            <w:sz w:val="20"/>
            <w:szCs w:val="20"/>
            <w:lang w:val="en-IN"/>
          </w:rPr>
          <m:t>=</m:t>
        </m:r>
        <m:r>
          <w:rPr>
            <w:rFonts w:ascii="Cambria Math" w:eastAsiaTheme="minorHAnsi" w:hAnsi="Cambria Math"/>
            <w:color w:val="1F497D"/>
            <w:sz w:val="20"/>
            <w:szCs w:val="20"/>
            <w:lang w:val="en-IN"/>
          </w:rPr>
          <m:t>h</m:t>
        </m:r>
      </m:oMath>
      <w:r w:rsidRPr="0041215D">
        <w:rPr>
          <w:rFonts w:eastAsiaTheme="minorHAnsi"/>
          <w:color w:val="1F497D"/>
          <w:sz w:val="20"/>
          <w:szCs w:val="20"/>
          <w:lang w:val="en-IN"/>
        </w:rPr>
        <w:t xml:space="preserve"> is:</w:t>
      </w:r>
    </w:p>
    <w:p w14:paraId="783D48E4" w14:textId="77777777" w:rsidR="0041215D" w:rsidRPr="0041215D" w:rsidRDefault="0041215D" w:rsidP="0041215D">
      <w:pPr>
        <w:pStyle w:val="BodyText"/>
        <w:jc w:val="both"/>
        <w:rPr>
          <w:rFonts w:eastAsiaTheme="minorHAnsi"/>
          <w:color w:val="1F497D"/>
          <w:sz w:val="20"/>
          <w:szCs w:val="20"/>
          <w:lang w:val="en-IN"/>
        </w:rPr>
      </w:pPr>
      <m:oMathPara>
        <m:oMathParaPr>
          <m:jc m:val="center"/>
        </m:oMathParaPr>
        <m:oMath>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E</m:t>
              </m:r>
            </m:e>
            <m:sub>
              <m:r>
                <m:rPr>
                  <m:nor/>
                </m:rPr>
                <w:rPr>
                  <w:rFonts w:eastAsiaTheme="minorHAnsi"/>
                  <w:color w:val="1F497D"/>
                  <w:sz w:val="20"/>
                  <w:szCs w:val="20"/>
                  <w:lang w:val="en-IN"/>
                </w:rPr>
                <m:t>over</m:t>
              </m:r>
            </m:sub>
          </m:sSub>
          <m:r>
            <m:rPr>
              <m:sty m:val="p"/>
            </m:rPr>
            <w:rPr>
              <w:rFonts w:ascii="Cambria Math" w:eastAsiaTheme="minorHAnsi" w:hAnsi="Cambria Math"/>
              <w:color w:val="1F497D"/>
              <w:sz w:val="20"/>
              <w:szCs w:val="20"/>
              <w:lang w:val="en-IN"/>
            </w:rPr>
            <m:t>[</m:t>
          </m:r>
          <m:r>
            <w:rPr>
              <w:rFonts w:ascii="Cambria Math" w:eastAsiaTheme="minorHAnsi" w:hAnsi="Cambria Math"/>
              <w:color w:val="1F497D"/>
              <w:sz w:val="20"/>
              <w:szCs w:val="20"/>
              <w:lang w:val="en-IN"/>
            </w:rPr>
            <m:t>V</m:t>
          </m:r>
          <m:r>
            <m:rPr>
              <m:sty m:val="p"/>
            </m:rPr>
            <w:rPr>
              <w:rFonts w:ascii="Cambria Math" w:eastAsiaTheme="minorHAnsi" w:hAnsi="Cambria Math"/>
              <w:color w:val="1F497D"/>
              <w:sz w:val="20"/>
              <w:szCs w:val="20"/>
              <w:lang w:val="en-IN"/>
            </w:rPr>
            <m:t>|</m:t>
          </m:r>
          <m:r>
            <w:rPr>
              <w:rFonts w:ascii="Cambria Math" w:eastAsiaTheme="minorHAnsi" w:hAnsi="Cambria Math"/>
              <w:color w:val="1F497D"/>
              <w:sz w:val="20"/>
              <w:szCs w:val="20"/>
              <w:lang w:val="en-IN"/>
            </w:rPr>
            <m:t>s</m:t>
          </m:r>
          <m:r>
            <m:rPr>
              <m:sty m:val="p"/>
            </m:rPr>
            <w:rPr>
              <w:rFonts w:ascii="Cambria Math" w:eastAsiaTheme="minorHAnsi" w:hAnsi="Cambria Math"/>
              <w:color w:val="1F497D"/>
              <w:sz w:val="20"/>
              <w:szCs w:val="20"/>
              <w:lang w:val="en-IN"/>
            </w:rPr>
            <m:t>=</m:t>
          </m:r>
          <m:r>
            <w:rPr>
              <w:rFonts w:ascii="Cambria Math" w:eastAsiaTheme="minorHAnsi" w:hAnsi="Cambria Math"/>
              <w:color w:val="1F497D"/>
              <w:sz w:val="20"/>
              <w:szCs w:val="20"/>
              <w:lang w:val="en-IN"/>
            </w:rPr>
            <m:t>h</m:t>
          </m:r>
          <m:r>
            <m:rPr>
              <m:sty m:val="p"/>
            </m:rPr>
            <w:rPr>
              <w:rFonts w:ascii="Cambria Math" w:eastAsiaTheme="minorHAnsi" w:hAnsi="Cambria Math"/>
              <w:color w:val="1F497D"/>
              <w:sz w:val="20"/>
              <w:szCs w:val="20"/>
              <w:lang w:val="en-IN"/>
            </w:rPr>
            <m:t>]=</m:t>
          </m:r>
          <m:f>
            <m:fPr>
              <m:ctrlPr>
                <w:rPr>
                  <w:rFonts w:ascii="Cambria Math" w:eastAsiaTheme="minorHAnsi" w:hAnsi="Cambria Math"/>
                  <w:color w:val="1F497D"/>
                  <w:sz w:val="20"/>
                  <w:szCs w:val="20"/>
                  <w:lang w:val="en-IN"/>
                </w:rPr>
              </m:ctrlPr>
            </m:fPr>
            <m:num>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π</m:t>
                  </m:r>
                </m:e>
                <m:sub>
                  <m:r>
                    <w:rPr>
                      <w:rFonts w:ascii="Cambria Math" w:eastAsiaTheme="minorHAnsi" w:hAnsi="Cambria Math"/>
                      <w:color w:val="1F497D"/>
                      <w:sz w:val="20"/>
                      <w:szCs w:val="20"/>
                      <w:lang w:val="en-IN"/>
                    </w:rPr>
                    <m:t>V</m:t>
                  </m:r>
                </m:sub>
              </m:sSub>
              <m:acc>
                <m:accPr>
                  <m:ctrlPr>
                    <w:rPr>
                      <w:rFonts w:ascii="Cambria Math" w:eastAsiaTheme="minorHAnsi" w:hAnsi="Cambria Math"/>
                      <w:color w:val="1F497D"/>
                      <w:sz w:val="20"/>
                      <w:szCs w:val="20"/>
                      <w:lang w:val="en-IN"/>
                    </w:rPr>
                  </m:ctrlPr>
                </m:accPr>
                <m:e>
                  <m:r>
                    <w:rPr>
                      <w:rFonts w:ascii="Cambria Math" w:eastAsiaTheme="minorHAnsi" w:hAnsi="Cambria Math"/>
                      <w:color w:val="1F497D"/>
                      <w:sz w:val="20"/>
                      <w:szCs w:val="20"/>
                      <w:lang w:val="en-IN"/>
                    </w:rPr>
                    <m:t>θ</m:t>
                  </m:r>
                </m:e>
              </m:acc>
            </m:num>
            <m:den>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π</m:t>
                  </m:r>
                </m:e>
                <m:sub>
                  <m:r>
                    <w:rPr>
                      <w:rFonts w:ascii="Cambria Math" w:eastAsiaTheme="minorHAnsi" w:hAnsi="Cambria Math"/>
                      <w:color w:val="1F497D"/>
                      <w:sz w:val="20"/>
                      <w:szCs w:val="20"/>
                      <w:lang w:val="en-IN"/>
                    </w:rPr>
                    <m:t>V</m:t>
                  </m:r>
                </m:sub>
              </m:sSub>
              <m:acc>
                <m:accPr>
                  <m:ctrlPr>
                    <w:rPr>
                      <w:rFonts w:ascii="Cambria Math" w:eastAsiaTheme="minorHAnsi" w:hAnsi="Cambria Math"/>
                      <w:color w:val="1F497D"/>
                      <w:sz w:val="20"/>
                      <w:szCs w:val="20"/>
                      <w:lang w:val="en-IN"/>
                    </w:rPr>
                  </m:ctrlPr>
                </m:accPr>
                <m:e>
                  <m:r>
                    <w:rPr>
                      <w:rFonts w:ascii="Cambria Math" w:eastAsiaTheme="minorHAnsi" w:hAnsi="Cambria Math"/>
                      <w:color w:val="1F497D"/>
                      <w:sz w:val="20"/>
                      <w:szCs w:val="20"/>
                      <w:lang w:val="en-IN"/>
                    </w:rPr>
                    <m:t>θ</m:t>
                  </m:r>
                </m:e>
              </m:acc>
              <m:r>
                <m:rPr>
                  <m:sty m:val="p"/>
                </m:rPr>
                <w:rPr>
                  <w:rFonts w:ascii="Cambria Math" w:eastAsiaTheme="minorHAnsi" w:hAnsi="Cambria Math"/>
                  <w:color w:val="1F497D"/>
                  <w:sz w:val="20"/>
                  <w:szCs w:val="20"/>
                  <w:lang w:val="en-IN"/>
                </w:rPr>
                <m:t>+(1-</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π</m:t>
                  </m:r>
                </m:e>
                <m:sub>
                  <m:r>
                    <w:rPr>
                      <w:rFonts w:ascii="Cambria Math" w:eastAsiaTheme="minorHAnsi" w:hAnsi="Cambria Math"/>
                      <w:color w:val="1F497D"/>
                      <w:sz w:val="20"/>
                      <w:szCs w:val="20"/>
                      <w:lang w:val="en-IN"/>
                    </w:rPr>
                    <m:t>V</m:t>
                  </m:r>
                </m:sub>
              </m:sSub>
              <m:r>
                <m:rPr>
                  <m:sty m:val="p"/>
                </m:rPr>
                <w:rPr>
                  <w:rFonts w:ascii="Cambria Math" w:eastAsiaTheme="minorHAnsi" w:hAnsi="Cambria Math"/>
                  <w:color w:val="1F497D"/>
                  <w:sz w:val="20"/>
                  <w:szCs w:val="20"/>
                  <w:lang w:val="en-IN"/>
                </w:rPr>
                <m:t>)(1-</m:t>
              </m:r>
              <m:acc>
                <m:accPr>
                  <m:ctrlPr>
                    <w:rPr>
                      <w:rFonts w:ascii="Cambria Math" w:eastAsiaTheme="minorHAnsi" w:hAnsi="Cambria Math"/>
                      <w:color w:val="1F497D"/>
                      <w:sz w:val="20"/>
                      <w:szCs w:val="20"/>
                      <w:lang w:val="en-IN"/>
                    </w:rPr>
                  </m:ctrlPr>
                </m:accPr>
                <m:e>
                  <m:r>
                    <w:rPr>
                      <w:rFonts w:ascii="Cambria Math" w:eastAsiaTheme="minorHAnsi" w:hAnsi="Cambria Math"/>
                      <w:color w:val="1F497D"/>
                      <w:sz w:val="20"/>
                      <w:szCs w:val="20"/>
                      <w:lang w:val="en-IN"/>
                    </w:rPr>
                    <m:t>θ</m:t>
                  </m:r>
                </m:e>
              </m:acc>
              <m:r>
                <m:rPr>
                  <m:sty m:val="p"/>
                </m:rPr>
                <w:rPr>
                  <w:rFonts w:ascii="Cambria Math" w:eastAsiaTheme="minorHAnsi" w:hAnsi="Cambria Math"/>
                  <w:color w:val="1F497D"/>
                  <w:sz w:val="20"/>
                  <w:szCs w:val="20"/>
                  <w:lang w:val="en-IN"/>
                </w:rPr>
                <m:t>)</m:t>
              </m:r>
            </m:den>
          </m:f>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V</m:t>
              </m:r>
            </m:e>
            <m:sub>
              <m:r>
                <w:rPr>
                  <w:rFonts w:ascii="Cambria Math" w:eastAsiaTheme="minorHAnsi" w:hAnsi="Cambria Math"/>
                  <w:color w:val="1F497D"/>
                  <w:sz w:val="20"/>
                  <w:szCs w:val="20"/>
                  <w:lang w:val="en-IN"/>
                </w:rPr>
                <m:t>H</m:t>
              </m:r>
            </m:sub>
          </m:sSub>
          <m:r>
            <m:rPr>
              <m:sty m:val="p"/>
            </m:rPr>
            <w:rPr>
              <w:rFonts w:ascii="Cambria Math" w:eastAsiaTheme="minorHAnsi" w:hAnsi="Cambria Math"/>
              <w:color w:val="1F497D"/>
              <w:sz w:val="20"/>
              <w:szCs w:val="20"/>
              <w:lang w:val="en-IN"/>
            </w:rPr>
            <m:t>+</m:t>
          </m:r>
          <m:f>
            <m:fPr>
              <m:ctrlPr>
                <w:rPr>
                  <w:rFonts w:ascii="Cambria Math" w:eastAsiaTheme="minorHAnsi" w:hAnsi="Cambria Math"/>
                  <w:color w:val="1F497D"/>
                  <w:sz w:val="20"/>
                  <w:szCs w:val="20"/>
                  <w:lang w:val="en-IN"/>
                </w:rPr>
              </m:ctrlPr>
            </m:fPr>
            <m:num>
              <m:r>
                <m:rPr>
                  <m:sty m:val="p"/>
                </m:rPr>
                <w:rPr>
                  <w:rFonts w:ascii="Cambria Math" w:eastAsiaTheme="minorHAnsi" w:hAnsi="Cambria Math"/>
                  <w:color w:val="1F497D"/>
                  <w:sz w:val="20"/>
                  <w:szCs w:val="20"/>
                  <w:lang w:val="en-IN"/>
                </w:rPr>
                <m:t>(1-</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π</m:t>
                  </m:r>
                </m:e>
                <m:sub>
                  <m:r>
                    <w:rPr>
                      <w:rFonts w:ascii="Cambria Math" w:eastAsiaTheme="minorHAnsi" w:hAnsi="Cambria Math"/>
                      <w:color w:val="1F497D"/>
                      <w:sz w:val="20"/>
                      <w:szCs w:val="20"/>
                      <w:lang w:val="en-IN"/>
                    </w:rPr>
                    <m:t>V</m:t>
                  </m:r>
                </m:sub>
              </m:sSub>
              <m:r>
                <m:rPr>
                  <m:sty m:val="p"/>
                </m:rPr>
                <w:rPr>
                  <w:rFonts w:ascii="Cambria Math" w:eastAsiaTheme="minorHAnsi" w:hAnsi="Cambria Math"/>
                  <w:color w:val="1F497D"/>
                  <w:sz w:val="20"/>
                  <w:szCs w:val="20"/>
                  <w:lang w:val="en-IN"/>
                </w:rPr>
                <m:t>)(1-</m:t>
              </m:r>
              <m:acc>
                <m:accPr>
                  <m:ctrlPr>
                    <w:rPr>
                      <w:rFonts w:ascii="Cambria Math" w:eastAsiaTheme="minorHAnsi" w:hAnsi="Cambria Math"/>
                      <w:color w:val="1F497D"/>
                      <w:sz w:val="20"/>
                      <w:szCs w:val="20"/>
                      <w:lang w:val="en-IN"/>
                    </w:rPr>
                  </m:ctrlPr>
                </m:accPr>
                <m:e>
                  <m:r>
                    <w:rPr>
                      <w:rFonts w:ascii="Cambria Math" w:eastAsiaTheme="minorHAnsi" w:hAnsi="Cambria Math"/>
                      <w:color w:val="1F497D"/>
                      <w:sz w:val="20"/>
                      <w:szCs w:val="20"/>
                      <w:lang w:val="en-IN"/>
                    </w:rPr>
                    <m:t>θ</m:t>
                  </m:r>
                </m:e>
              </m:acc>
              <m:r>
                <m:rPr>
                  <m:sty m:val="p"/>
                </m:rPr>
                <w:rPr>
                  <w:rFonts w:ascii="Cambria Math" w:eastAsiaTheme="minorHAnsi" w:hAnsi="Cambria Math"/>
                  <w:color w:val="1F497D"/>
                  <w:sz w:val="20"/>
                  <w:szCs w:val="20"/>
                  <w:lang w:val="en-IN"/>
                </w:rPr>
                <m:t>)</m:t>
              </m:r>
            </m:num>
            <m:den>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π</m:t>
                  </m:r>
                </m:e>
                <m:sub>
                  <m:r>
                    <w:rPr>
                      <w:rFonts w:ascii="Cambria Math" w:eastAsiaTheme="minorHAnsi" w:hAnsi="Cambria Math"/>
                      <w:color w:val="1F497D"/>
                      <w:sz w:val="20"/>
                      <w:szCs w:val="20"/>
                      <w:lang w:val="en-IN"/>
                    </w:rPr>
                    <m:t>V</m:t>
                  </m:r>
                </m:sub>
              </m:sSub>
              <m:acc>
                <m:accPr>
                  <m:ctrlPr>
                    <w:rPr>
                      <w:rFonts w:ascii="Cambria Math" w:eastAsiaTheme="minorHAnsi" w:hAnsi="Cambria Math"/>
                      <w:color w:val="1F497D"/>
                      <w:sz w:val="20"/>
                      <w:szCs w:val="20"/>
                      <w:lang w:val="en-IN"/>
                    </w:rPr>
                  </m:ctrlPr>
                </m:accPr>
                <m:e>
                  <m:r>
                    <w:rPr>
                      <w:rFonts w:ascii="Cambria Math" w:eastAsiaTheme="minorHAnsi" w:hAnsi="Cambria Math"/>
                      <w:color w:val="1F497D"/>
                      <w:sz w:val="20"/>
                      <w:szCs w:val="20"/>
                      <w:lang w:val="en-IN"/>
                    </w:rPr>
                    <m:t>θ</m:t>
                  </m:r>
                </m:e>
              </m:acc>
              <m:r>
                <m:rPr>
                  <m:sty m:val="p"/>
                </m:rPr>
                <w:rPr>
                  <w:rFonts w:ascii="Cambria Math" w:eastAsiaTheme="minorHAnsi" w:hAnsi="Cambria Math"/>
                  <w:color w:val="1F497D"/>
                  <w:sz w:val="20"/>
                  <w:szCs w:val="20"/>
                  <w:lang w:val="en-IN"/>
                </w:rPr>
                <m:t>+(1-</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π</m:t>
                  </m:r>
                </m:e>
                <m:sub>
                  <m:r>
                    <w:rPr>
                      <w:rFonts w:ascii="Cambria Math" w:eastAsiaTheme="minorHAnsi" w:hAnsi="Cambria Math"/>
                      <w:color w:val="1F497D"/>
                      <w:sz w:val="20"/>
                      <w:szCs w:val="20"/>
                      <w:lang w:val="en-IN"/>
                    </w:rPr>
                    <m:t>V</m:t>
                  </m:r>
                </m:sub>
              </m:sSub>
              <m:r>
                <m:rPr>
                  <m:sty m:val="p"/>
                </m:rPr>
                <w:rPr>
                  <w:rFonts w:ascii="Cambria Math" w:eastAsiaTheme="minorHAnsi" w:hAnsi="Cambria Math"/>
                  <w:color w:val="1F497D"/>
                  <w:sz w:val="20"/>
                  <w:szCs w:val="20"/>
                  <w:lang w:val="en-IN"/>
                </w:rPr>
                <m:t>)(1-</m:t>
              </m:r>
              <m:acc>
                <m:accPr>
                  <m:ctrlPr>
                    <w:rPr>
                      <w:rFonts w:ascii="Cambria Math" w:eastAsiaTheme="minorHAnsi" w:hAnsi="Cambria Math"/>
                      <w:color w:val="1F497D"/>
                      <w:sz w:val="20"/>
                      <w:szCs w:val="20"/>
                      <w:lang w:val="en-IN"/>
                    </w:rPr>
                  </m:ctrlPr>
                </m:accPr>
                <m:e>
                  <m:r>
                    <w:rPr>
                      <w:rFonts w:ascii="Cambria Math" w:eastAsiaTheme="minorHAnsi" w:hAnsi="Cambria Math"/>
                      <w:color w:val="1F497D"/>
                      <w:sz w:val="20"/>
                      <w:szCs w:val="20"/>
                      <w:lang w:val="en-IN"/>
                    </w:rPr>
                    <m:t>θ</m:t>
                  </m:r>
                </m:e>
              </m:acc>
              <m:r>
                <m:rPr>
                  <m:sty m:val="p"/>
                </m:rPr>
                <w:rPr>
                  <w:rFonts w:ascii="Cambria Math" w:eastAsiaTheme="minorHAnsi" w:hAnsi="Cambria Math"/>
                  <w:color w:val="1F497D"/>
                  <w:sz w:val="20"/>
                  <w:szCs w:val="20"/>
                  <w:lang w:val="en-IN"/>
                </w:rPr>
                <m:t>)</m:t>
              </m:r>
            </m:den>
          </m:f>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V</m:t>
              </m:r>
            </m:e>
            <m:sub>
              <m:r>
                <w:rPr>
                  <w:rFonts w:ascii="Cambria Math" w:eastAsiaTheme="minorHAnsi" w:hAnsi="Cambria Math"/>
                  <w:color w:val="1F497D"/>
                  <w:sz w:val="20"/>
                  <w:szCs w:val="20"/>
                  <w:lang w:val="en-IN"/>
                </w:rPr>
                <m:t>L</m:t>
              </m:r>
            </m:sub>
          </m:sSub>
        </m:oMath>
      </m:oMathPara>
    </w:p>
    <w:p w14:paraId="62225307" w14:textId="77777777" w:rsidR="0041215D" w:rsidRPr="0041215D" w:rsidRDefault="0041215D" w:rsidP="0041215D">
      <w:pPr>
        <w:pStyle w:val="FirstParagraph"/>
        <w:spacing w:after="0"/>
        <w:jc w:val="both"/>
        <w:rPr>
          <w:rFonts w:cs="Times New Roman"/>
          <w:color w:val="1F497D"/>
          <w:sz w:val="20"/>
          <w:szCs w:val="20"/>
          <w:lang w:val="en-IN"/>
        </w:rPr>
      </w:pPr>
      <w:r w:rsidRPr="0041215D">
        <w:rPr>
          <w:rFonts w:cs="Times New Roman"/>
          <w:color w:val="1F497D"/>
          <w:sz w:val="20"/>
          <w:szCs w:val="20"/>
          <w:lang w:val="en-IN"/>
        </w:rPr>
        <w:t xml:space="preserve">where </w:t>
      </w:r>
      <m:oMath>
        <m:sSub>
          <m:sSubPr>
            <m:ctrlPr>
              <w:rPr>
                <w:rFonts w:ascii="Cambria Math" w:hAnsi="Cambria Math" w:cs="Times New Roman"/>
                <w:color w:val="1F497D"/>
                <w:sz w:val="20"/>
                <w:szCs w:val="20"/>
                <w:lang w:val="en-IN"/>
              </w:rPr>
            </m:ctrlPr>
          </m:sSubPr>
          <m:e>
            <m:r>
              <w:rPr>
                <w:rFonts w:ascii="Cambria Math" w:hAnsi="Cambria Math" w:cs="Times New Roman"/>
                <w:color w:val="1F497D"/>
                <w:sz w:val="20"/>
                <w:szCs w:val="20"/>
                <w:lang w:val="en-IN"/>
              </w:rPr>
              <m:t>π</m:t>
            </m:r>
          </m:e>
          <m:sub>
            <m:r>
              <w:rPr>
                <w:rFonts w:ascii="Cambria Math" w:hAnsi="Cambria Math" w:cs="Times New Roman"/>
                <w:color w:val="1F497D"/>
                <w:sz w:val="20"/>
                <w:szCs w:val="20"/>
                <w:lang w:val="en-IN"/>
              </w:rPr>
              <m:t>V</m:t>
            </m:r>
          </m:sub>
        </m:sSub>
      </m:oMath>
      <w:r w:rsidRPr="0041215D">
        <w:rPr>
          <w:rFonts w:cs="Times New Roman"/>
          <w:color w:val="1F497D"/>
          <w:sz w:val="20"/>
          <w:szCs w:val="20"/>
          <w:lang w:val="en-IN"/>
        </w:rPr>
        <w:t xml:space="preserve"> is the prior probability of </w:t>
      </w:r>
      <m:oMath>
        <m:sSub>
          <m:sSubPr>
            <m:ctrlPr>
              <w:rPr>
                <w:rFonts w:ascii="Cambria Math" w:hAnsi="Cambria Math" w:cs="Times New Roman"/>
                <w:color w:val="1F497D"/>
                <w:sz w:val="20"/>
                <w:szCs w:val="20"/>
                <w:lang w:val="en-IN"/>
              </w:rPr>
            </m:ctrlPr>
          </m:sSubPr>
          <m:e>
            <m:r>
              <w:rPr>
                <w:rFonts w:ascii="Cambria Math" w:hAnsi="Cambria Math" w:cs="Times New Roman"/>
                <w:color w:val="1F497D"/>
                <w:sz w:val="20"/>
                <w:szCs w:val="20"/>
                <w:lang w:val="en-IN"/>
              </w:rPr>
              <m:t>V</m:t>
            </m:r>
          </m:e>
          <m:sub>
            <m:r>
              <w:rPr>
                <w:rFonts w:ascii="Cambria Math" w:hAnsi="Cambria Math" w:cs="Times New Roman"/>
                <w:color w:val="1F497D"/>
                <w:sz w:val="20"/>
                <w:szCs w:val="20"/>
                <w:lang w:val="en-IN"/>
              </w:rPr>
              <m:t>H</m:t>
            </m:r>
          </m:sub>
        </m:sSub>
      </m:oMath>
      <w:r w:rsidRPr="0041215D">
        <w:rPr>
          <w:rFonts w:cs="Times New Roman"/>
          <w:color w:val="1F497D"/>
          <w:sz w:val="20"/>
          <w:szCs w:val="20"/>
          <w:lang w:val="en-IN"/>
        </w:rPr>
        <w:t xml:space="preserve">. This leads to an overreaction to the private signal. The price, </w:t>
      </w:r>
      <m:oMath>
        <m:r>
          <w:rPr>
            <w:rFonts w:ascii="Cambria Math" w:hAnsi="Cambria Math" w:cs="Times New Roman"/>
            <w:color w:val="1F497D"/>
            <w:sz w:val="20"/>
            <w:szCs w:val="20"/>
            <w:lang w:val="en-IN"/>
          </w:rPr>
          <m:t>P</m:t>
        </m:r>
      </m:oMath>
      <w:r w:rsidRPr="0041215D">
        <w:rPr>
          <w:rFonts w:cs="Times New Roman"/>
          <w:color w:val="1F497D"/>
          <w:sz w:val="20"/>
          <w:szCs w:val="20"/>
          <w:lang w:val="en-IN"/>
        </w:rPr>
        <w:t xml:space="preserve">, set by such investors, deviates from the fundamental value, </w:t>
      </w:r>
      <m:oMath>
        <m:r>
          <w:rPr>
            <w:rFonts w:ascii="Cambria Math" w:hAnsi="Cambria Math" w:cs="Times New Roman"/>
            <w:color w:val="1F497D"/>
            <w:sz w:val="20"/>
            <w:szCs w:val="20"/>
            <w:lang w:val="en-IN"/>
          </w:rPr>
          <m:t>F</m:t>
        </m:r>
      </m:oMath>
      <w:r w:rsidRPr="0041215D">
        <w:rPr>
          <w:rFonts w:cs="Times New Roman"/>
          <w:color w:val="1F497D"/>
          <w:sz w:val="20"/>
          <w:szCs w:val="20"/>
          <w:lang w:val="en-IN"/>
        </w:rPr>
        <w:t>, leading to excess volatility:</w:t>
      </w:r>
    </w:p>
    <w:p w14:paraId="59D82BA7" w14:textId="77777777" w:rsidR="0041215D" w:rsidRPr="0041215D" w:rsidRDefault="0041215D" w:rsidP="0041215D">
      <w:pPr>
        <w:pStyle w:val="BodyText"/>
        <w:jc w:val="both"/>
        <w:rPr>
          <w:rFonts w:eastAsiaTheme="minorHAnsi"/>
          <w:color w:val="1F497D"/>
          <w:sz w:val="20"/>
          <w:szCs w:val="20"/>
          <w:lang w:val="en-IN"/>
        </w:rPr>
      </w:pPr>
      <m:oMathPara>
        <m:oMathParaPr>
          <m:jc m:val="center"/>
        </m:oMathParaPr>
        <m:oMath>
          <m:sSubSup>
            <m:sSubSupPr>
              <m:ctrlPr>
                <w:rPr>
                  <w:rFonts w:ascii="Cambria Math" w:eastAsiaTheme="minorHAnsi" w:hAnsi="Cambria Math"/>
                  <w:color w:val="1F497D"/>
                  <w:sz w:val="20"/>
                  <w:szCs w:val="20"/>
                  <w:lang w:val="en-IN"/>
                </w:rPr>
              </m:ctrlPr>
            </m:sSubSupPr>
            <m:e>
              <m:r>
                <w:rPr>
                  <w:rFonts w:ascii="Cambria Math" w:eastAsiaTheme="minorHAnsi" w:hAnsi="Cambria Math"/>
                  <w:color w:val="1F497D"/>
                  <w:sz w:val="20"/>
                  <w:szCs w:val="20"/>
                  <w:lang w:val="en-IN"/>
                </w:rPr>
                <m:t>σ</m:t>
              </m:r>
            </m:e>
            <m:sub>
              <m:r>
                <w:rPr>
                  <w:rFonts w:ascii="Cambria Math" w:eastAsiaTheme="minorHAnsi" w:hAnsi="Cambria Math"/>
                  <w:color w:val="1F497D"/>
                  <w:sz w:val="20"/>
                  <w:szCs w:val="20"/>
                  <w:lang w:val="en-IN"/>
                </w:rPr>
                <m:t>P</m:t>
              </m:r>
            </m:sub>
            <m:sup>
              <m:r>
                <m:rPr>
                  <m:sty m:val="p"/>
                </m:rPr>
                <w:rPr>
                  <w:rFonts w:ascii="Cambria Math" w:eastAsiaTheme="minorHAnsi" w:hAnsi="Cambria Math"/>
                  <w:color w:val="1F497D"/>
                  <w:sz w:val="20"/>
                  <w:szCs w:val="20"/>
                  <w:lang w:val="en-IN"/>
                </w:rPr>
                <m:t>2</m:t>
              </m:r>
            </m:sup>
          </m:sSubSup>
          <m:r>
            <m:rPr>
              <m:sty m:val="p"/>
            </m:rPr>
            <w:rPr>
              <w:rFonts w:ascii="Cambria Math" w:eastAsiaTheme="minorHAnsi" w:hAnsi="Cambria Math"/>
              <w:color w:val="1F497D"/>
              <w:sz w:val="20"/>
              <w:szCs w:val="20"/>
              <w:lang w:val="en-IN"/>
            </w:rPr>
            <m:t>=</m:t>
          </m:r>
          <m:sSubSup>
            <m:sSubSupPr>
              <m:ctrlPr>
                <w:rPr>
                  <w:rFonts w:ascii="Cambria Math" w:eastAsiaTheme="minorHAnsi" w:hAnsi="Cambria Math"/>
                  <w:color w:val="1F497D"/>
                  <w:sz w:val="20"/>
                  <w:szCs w:val="20"/>
                  <w:lang w:val="en-IN"/>
                </w:rPr>
              </m:ctrlPr>
            </m:sSubSupPr>
            <m:e>
              <m:r>
                <w:rPr>
                  <w:rFonts w:ascii="Cambria Math" w:eastAsiaTheme="minorHAnsi" w:hAnsi="Cambria Math"/>
                  <w:color w:val="1F497D"/>
                  <w:sz w:val="20"/>
                  <w:szCs w:val="20"/>
                  <w:lang w:val="en-IN"/>
                </w:rPr>
                <m:t>σ</m:t>
              </m:r>
            </m:e>
            <m:sub>
              <m:r>
                <w:rPr>
                  <w:rFonts w:ascii="Cambria Math" w:eastAsiaTheme="minorHAnsi" w:hAnsi="Cambria Math"/>
                  <w:color w:val="1F497D"/>
                  <w:sz w:val="20"/>
                  <w:szCs w:val="20"/>
                  <w:lang w:val="en-IN"/>
                </w:rPr>
                <m:t>F</m:t>
              </m:r>
            </m:sub>
            <m:sup>
              <m:r>
                <m:rPr>
                  <m:sty m:val="p"/>
                </m:rPr>
                <w:rPr>
                  <w:rFonts w:ascii="Cambria Math" w:eastAsiaTheme="minorHAnsi" w:hAnsi="Cambria Math"/>
                  <w:color w:val="1F497D"/>
                  <w:sz w:val="20"/>
                  <w:szCs w:val="20"/>
                  <w:lang w:val="en-IN"/>
                </w:rPr>
                <m:t>2</m:t>
              </m:r>
            </m:sup>
          </m:sSubSup>
          <m:r>
            <m:rPr>
              <m:sty m:val="p"/>
            </m:rPr>
            <w:rPr>
              <w:rFonts w:ascii="Cambria Math" w:eastAsiaTheme="minorHAnsi" w:hAnsi="Cambria Math"/>
              <w:color w:val="1F497D"/>
              <w:sz w:val="20"/>
              <w:szCs w:val="20"/>
              <w:lang w:val="en-IN"/>
            </w:rPr>
            <m:t>+</m:t>
          </m:r>
          <m:sSubSup>
            <m:sSubSupPr>
              <m:ctrlPr>
                <w:rPr>
                  <w:rFonts w:ascii="Cambria Math" w:eastAsiaTheme="minorHAnsi" w:hAnsi="Cambria Math"/>
                  <w:color w:val="1F497D"/>
                  <w:sz w:val="20"/>
                  <w:szCs w:val="20"/>
                  <w:lang w:val="en-IN"/>
                </w:rPr>
              </m:ctrlPr>
            </m:sSubSupPr>
            <m:e>
              <m:r>
                <w:rPr>
                  <w:rFonts w:ascii="Cambria Math" w:eastAsiaTheme="minorHAnsi" w:hAnsi="Cambria Math"/>
                  <w:color w:val="1F497D"/>
                  <w:sz w:val="20"/>
                  <w:szCs w:val="20"/>
                  <w:lang w:val="en-IN"/>
                </w:rPr>
                <m:t>σ</m:t>
              </m:r>
            </m:e>
            <m:sub>
              <m:r>
                <w:rPr>
                  <w:rFonts w:ascii="Cambria Math" w:eastAsiaTheme="minorHAnsi" w:hAnsi="Cambria Math"/>
                  <w:color w:val="1F497D"/>
                  <w:sz w:val="20"/>
                  <w:szCs w:val="20"/>
                  <w:lang w:val="en-IN"/>
                </w:rPr>
                <m:t>ϵ</m:t>
              </m:r>
            </m:sub>
            <m:sup>
              <m:r>
                <m:rPr>
                  <m:sty m:val="p"/>
                </m:rPr>
                <w:rPr>
                  <w:rFonts w:ascii="Cambria Math" w:eastAsiaTheme="minorHAnsi" w:hAnsi="Cambria Math"/>
                  <w:color w:val="1F497D"/>
                  <w:sz w:val="20"/>
                  <w:szCs w:val="20"/>
                  <w:lang w:val="en-IN"/>
                </w:rPr>
                <m:t>2</m:t>
              </m:r>
            </m:sup>
          </m:sSubSup>
          <m:r>
            <m:rPr>
              <m:sty m:val="p"/>
            </m:rPr>
            <w:rPr>
              <w:rFonts w:ascii="Cambria Math" w:eastAsiaTheme="minorHAnsi" w:hAnsi="Cambria Math"/>
              <w:color w:val="1F497D"/>
              <w:sz w:val="20"/>
              <w:szCs w:val="20"/>
              <w:lang w:val="en-IN"/>
            </w:rPr>
            <m:t>+2⋅</m:t>
          </m:r>
          <m:r>
            <m:rPr>
              <m:nor/>
            </m:rPr>
            <w:rPr>
              <w:rFonts w:eastAsiaTheme="minorHAnsi"/>
              <w:color w:val="1F497D"/>
              <w:sz w:val="20"/>
              <w:szCs w:val="20"/>
              <w:lang w:val="en-IN"/>
            </w:rPr>
            <m:t>Cov</m:t>
          </m:r>
          <m:r>
            <m:rPr>
              <m:sty m:val="p"/>
            </m:rPr>
            <w:rPr>
              <w:rFonts w:ascii="Cambria Math" w:eastAsiaTheme="minorHAnsi" w:hAnsi="Cambria Math"/>
              <w:color w:val="1F497D"/>
              <w:sz w:val="20"/>
              <w:szCs w:val="20"/>
              <w:lang w:val="en-IN"/>
            </w:rPr>
            <m:t>(</m:t>
          </m:r>
          <m:r>
            <w:rPr>
              <w:rFonts w:ascii="Cambria Math" w:eastAsiaTheme="minorHAnsi" w:hAnsi="Cambria Math"/>
              <w:color w:val="1F497D"/>
              <w:sz w:val="20"/>
              <w:szCs w:val="20"/>
              <w:lang w:val="en-IN"/>
            </w:rPr>
            <m:t>F</m:t>
          </m:r>
          <m:r>
            <m:rPr>
              <m:sty m:val="p"/>
            </m:rPr>
            <w:rPr>
              <w:rFonts w:ascii="Cambria Math" w:eastAsiaTheme="minorHAnsi" w:hAnsi="Cambria Math"/>
              <w:color w:val="1F497D"/>
              <w:sz w:val="20"/>
              <w:szCs w:val="20"/>
              <w:lang w:val="en-IN"/>
            </w:rPr>
            <m:t>,</m:t>
          </m:r>
          <m:r>
            <w:rPr>
              <w:rFonts w:ascii="Cambria Math" w:eastAsiaTheme="minorHAnsi" w:hAnsi="Cambria Math"/>
              <w:color w:val="1F497D"/>
              <w:sz w:val="20"/>
              <w:szCs w:val="20"/>
              <w:lang w:val="en-IN"/>
            </w:rPr>
            <m:t>ϵ</m:t>
          </m:r>
          <m:r>
            <m:rPr>
              <m:sty m:val="p"/>
            </m:rPr>
            <w:rPr>
              <w:rFonts w:ascii="Cambria Math" w:eastAsiaTheme="minorHAnsi" w:hAnsi="Cambria Math"/>
              <w:color w:val="1F497D"/>
              <w:sz w:val="20"/>
              <w:szCs w:val="20"/>
              <w:lang w:val="en-IN"/>
            </w:rPr>
            <m:t>)</m:t>
          </m:r>
        </m:oMath>
      </m:oMathPara>
    </w:p>
    <w:p w14:paraId="550F8606" w14:textId="77777777" w:rsidR="0041215D" w:rsidRPr="0041215D" w:rsidRDefault="0041215D" w:rsidP="0041215D">
      <w:pPr>
        <w:pStyle w:val="FirstParagraph"/>
        <w:spacing w:after="0"/>
        <w:jc w:val="both"/>
        <w:rPr>
          <w:rFonts w:cs="Times New Roman"/>
          <w:color w:val="1F497D"/>
          <w:sz w:val="20"/>
          <w:szCs w:val="20"/>
          <w:lang w:val="en-IN"/>
        </w:rPr>
      </w:pPr>
      <w:r w:rsidRPr="0041215D">
        <w:rPr>
          <w:rFonts w:cs="Times New Roman"/>
          <w:color w:val="1F497D"/>
          <w:sz w:val="20"/>
          <w:szCs w:val="20"/>
          <w:lang w:val="en-IN"/>
        </w:rPr>
        <w:t xml:space="preserve">where </w:t>
      </w:r>
      <m:oMath>
        <m:r>
          <w:rPr>
            <w:rFonts w:ascii="Cambria Math" w:hAnsi="Cambria Math" w:cs="Times New Roman"/>
            <w:color w:val="1F497D"/>
            <w:sz w:val="20"/>
            <w:szCs w:val="20"/>
            <w:lang w:val="en-IN"/>
          </w:rPr>
          <m:t>ϵ</m:t>
        </m:r>
        <m:r>
          <m:rPr>
            <m:sty m:val="p"/>
          </m:rPr>
          <w:rPr>
            <w:rFonts w:ascii="Cambria Math" w:hAnsi="Cambria Math" w:cs="Times New Roman"/>
            <w:color w:val="1F497D"/>
            <w:sz w:val="20"/>
            <w:szCs w:val="20"/>
            <w:lang w:val="en-IN"/>
          </w:rPr>
          <m:t>=</m:t>
        </m:r>
        <m:r>
          <w:rPr>
            <w:rFonts w:ascii="Cambria Math" w:hAnsi="Cambria Math" w:cs="Times New Roman"/>
            <w:color w:val="1F497D"/>
            <w:sz w:val="20"/>
            <w:szCs w:val="20"/>
            <w:lang w:val="en-IN"/>
          </w:rPr>
          <m:t>P</m:t>
        </m:r>
        <m:r>
          <m:rPr>
            <m:sty m:val="p"/>
          </m:rPr>
          <w:rPr>
            <w:rFonts w:ascii="Cambria Math" w:hAnsi="Cambria Math" w:cs="Times New Roman"/>
            <w:color w:val="1F497D"/>
            <w:sz w:val="20"/>
            <w:szCs w:val="20"/>
            <w:lang w:val="en-IN"/>
          </w:rPr>
          <m:t>-</m:t>
        </m:r>
        <m:r>
          <w:rPr>
            <w:rFonts w:ascii="Cambria Math" w:hAnsi="Cambria Math" w:cs="Times New Roman"/>
            <w:color w:val="1F497D"/>
            <w:sz w:val="20"/>
            <w:szCs w:val="20"/>
            <w:lang w:val="en-IN"/>
          </w:rPr>
          <m:t>F</m:t>
        </m:r>
      </m:oMath>
      <w:r w:rsidRPr="0041215D">
        <w:rPr>
          <w:rFonts w:cs="Times New Roman"/>
          <w:color w:val="1F497D"/>
          <w:sz w:val="20"/>
          <w:szCs w:val="20"/>
          <w:lang w:val="en-IN"/>
        </w:rPr>
        <w:t xml:space="preserve"> is the pricing error due to behavioral biases. During stable periods, </w:t>
      </w:r>
      <m:oMath>
        <m:sSubSup>
          <m:sSubSupPr>
            <m:ctrlPr>
              <w:rPr>
                <w:rFonts w:ascii="Cambria Math" w:hAnsi="Cambria Math" w:cs="Times New Roman"/>
                <w:color w:val="1F497D"/>
                <w:sz w:val="20"/>
                <w:szCs w:val="20"/>
                <w:lang w:val="en-IN"/>
              </w:rPr>
            </m:ctrlPr>
          </m:sSubSupPr>
          <m:e>
            <m:r>
              <w:rPr>
                <w:rFonts w:ascii="Cambria Math" w:hAnsi="Cambria Math" w:cs="Times New Roman"/>
                <w:color w:val="1F497D"/>
                <w:sz w:val="20"/>
                <w:szCs w:val="20"/>
                <w:lang w:val="en-IN"/>
              </w:rPr>
              <m:t>σ</m:t>
            </m:r>
          </m:e>
          <m:sub>
            <m:r>
              <w:rPr>
                <w:rFonts w:ascii="Cambria Math" w:hAnsi="Cambria Math" w:cs="Times New Roman"/>
                <w:color w:val="1F497D"/>
                <w:sz w:val="20"/>
                <w:szCs w:val="20"/>
                <w:lang w:val="en-IN"/>
              </w:rPr>
              <m:t>ϵ</m:t>
            </m:r>
          </m:sub>
          <m:sup>
            <m:r>
              <m:rPr>
                <m:sty m:val="p"/>
              </m:rPr>
              <w:rPr>
                <w:rFonts w:ascii="Cambria Math" w:hAnsi="Cambria Math" w:cs="Times New Roman"/>
                <w:color w:val="1F497D"/>
                <w:sz w:val="20"/>
                <w:szCs w:val="20"/>
                <w:lang w:val="en-IN"/>
              </w:rPr>
              <m:t>2</m:t>
            </m:r>
          </m:sup>
        </m:sSubSup>
      </m:oMath>
      <w:r w:rsidRPr="0041215D">
        <w:rPr>
          <w:rFonts w:cs="Times New Roman"/>
          <w:color w:val="1F497D"/>
          <w:sz w:val="20"/>
          <w:szCs w:val="20"/>
          <w:lang w:val="en-IN"/>
        </w:rPr>
        <w:t xml:space="preserve"> may be small. In a crisis, the variance of the overreaction, </w:t>
      </w:r>
      <m:oMath>
        <m:sSubSup>
          <m:sSubSupPr>
            <m:ctrlPr>
              <w:rPr>
                <w:rFonts w:ascii="Cambria Math" w:hAnsi="Cambria Math" w:cs="Times New Roman"/>
                <w:color w:val="1F497D"/>
                <w:sz w:val="20"/>
                <w:szCs w:val="20"/>
                <w:lang w:val="en-IN"/>
              </w:rPr>
            </m:ctrlPr>
          </m:sSubSupPr>
          <m:e>
            <m:r>
              <w:rPr>
                <w:rFonts w:ascii="Cambria Math" w:hAnsi="Cambria Math" w:cs="Times New Roman"/>
                <w:color w:val="1F497D"/>
                <w:sz w:val="20"/>
                <w:szCs w:val="20"/>
                <w:lang w:val="en-IN"/>
              </w:rPr>
              <m:t>σ</m:t>
            </m:r>
          </m:e>
          <m:sub>
            <m:r>
              <w:rPr>
                <w:rFonts w:ascii="Cambria Math" w:hAnsi="Cambria Math" w:cs="Times New Roman"/>
                <w:color w:val="1F497D"/>
                <w:sz w:val="20"/>
                <w:szCs w:val="20"/>
                <w:lang w:val="en-IN"/>
              </w:rPr>
              <m:t>ϵ</m:t>
            </m:r>
          </m:sub>
          <m:sup>
            <m:r>
              <m:rPr>
                <m:sty m:val="p"/>
              </m:rPr>
              <w:rPr>
                <w:rFonts w:ascii="Cambria Math" w:hAnsi="Cambria Math" w:cs="Times New Roman"/>
                <w:color w:val="1F497D"/>
                <w:sz w:val="20"/>
                <w:szCs w:val="20"/>
                <w:lang w:val="en-IN"/>
              </w:rPr>
              <m:t>2</m:t>
            </m:r>
          </m:sup>
        </m:sSubSup>
      </m:oMath>
      <w:r w:rsidRPr="0041215D">
        <w:rPr>
          <w:rFonts w:cs="Times New Roman"/>
          <w:color w:val="1F497D"/>
          <w:sz w:val="20"/>
          <w:szCs w:val="20"/>
          <w:lang w:val="en-IN"/>
        </w:rPr>
        <w:t>, explodes as investors simultaneously overinterpret noisy, negative information.</w:t>
      </w:r>
    </w:p>
    <w:p w14:paraId="4F9584A5" w14:textId="77777777" w:rsidR="0041215D" w:rsidRPr="0041215D" w:rsidRDefault="0041215D" w:rsidP="0041215D">
      <w:pPr>
        <w:pStyle w:val="BodyText"/>
        <w:jc w:val="both"/>
        <w:rPr>
          <w:rFonts w:eastAsiaTheme="minorHAnsi"/>
          <w:color w:val="1F497D"/>
          <w:sz w:val="20"/>
          <w:szCs w:val="20"/>
          <w:lang w:val="en-IN"/>
        </w:rPr>
      </w:pPr>
      <w:r w:rsidRPr="0041215D">
        <w:rPr>
          <w:rFonts w:eastAsiaTheme="minorHAnsi"/>
          <w:color w:val="1F497D"/>
          <w:sz w:val="20"/>
          <w:szCs w:val="20"/>
          <w:lang w:val="en-IN"/>
        </w:rPr>
        <w:t>3.4 A Synthesis Model: Behavioral Asset Pricing with Sentiment</w:t>
      </w:r>
    </w:p>
    <w:p w14:paraId="360EA06F" w14:textId="77777777" w:rsidR="0041215D" w:rsidRPr="0041215D" w:rsidRDefault="0041215D" w:rsidP="0041215D">
      <w:pPr>
        <w:pStyle w:val="BodyText"/>
        <w:jc w:val="both"/>
        <w:rPr>
          <w:rFonts w:eastAsiaTheme="minorHAnsi"/>
          <w:color w:val="1F497D"/>
          <w:sz w:val="20"/>
          <w:szCs w:val="20"/>
          <w:lang w:val="en-IN"/>
        </w:rPr>
      </w:pPr>
      <w:r w:rsidRPr="0041215D">
        <w:rPr>
          <w:rFonts w:eastAsiaTheme="minorHAnsi"/>
          <w:color w:val="1F497D"/>
          <w:sz w:val="20"/>
          <w:szCs w:val="20"/>
          <w:lang w:val="en-IN"/>
        </w:rPr>
        <w:t>We can synthesize these elements into a behavioral version of the Capital Asset Pricing Model (CAPM). Let the market consist of two types of agents: rational investors (R) and behavioral investors (B) subject to sentiment. Following [12] and [6], the equilibrium price can be expressed as:</w:t>
      </w:r>
    </w:p>
    <w:p w14:paraId="6A2D8AC7" w14:textId="77777777" w:rsidR="0041215D" w:rsidRPr="0041215D" w:rsidRDefault="0041215D" w:rsidP="0041215D">
      <w:pPr>
        <w:pStyle w:val="BodyText"/>
        <w:jc w:val="both"/>
        <w:rPr>
          <w:rFonts w:eastAsiaTheme="minorHAnsi"/>
          <w:color w:val="1F497D"/>
          <w:sz w:val="20"/>
          <w:szCs w:val="20"/>
          <w:lang w:val="en-IN"/>
        </w:rPr>
      </w:pPr>
      <m:oMathPara>
        <m:oMathParaPr>
          <m:jc m:val="center"/>
        </m:oMathParaPr>
        <m:oMath>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P</m:t>
              </m:r>
            </m:e>
            <m:sub>
              <m:r>
                <w:rPr>
                  <w:rFonts w:ascii="Cambria Math" w:eastAsiaTheme="minorHAnsi" w:hAnsi="Cambria Math"/>
                  <w:color w:val="1F497D"/>
                  <w:sz w:val="20"/>
                  <w:szCs w:val="20"/>
                  <w:lang w:val="en-IN"/>
                </w:rPr>
                <m:t>t</m:t>
              </m:r>
            </m:sub>
          </m:sSub>
          <m:r>
            <m:rPr>
              <m:sty m:val="p"/>
            </m:rPr>
            <w:rPr>
              <w:rFonts w:ascii="Cambria Math" w:eastAsiaTheme="minorHAnsi" w:hAnsi="Cambria Math"/>
              <w:color w:val="1F497D"/>
              <w:sz w:val="20"/>
              <w:szCs w:val="20"/>
              <w:lang w:val="en-IN"/>
            </w:rPr>
            <m:t>=</m:t>
          </m:r>
          <m:f>
            <m:fPr>
              <m:ctrlPr>
                <w:rPr>
                  <w:rFonts w:ascii="Cambria Math" w:eastAsiaTheme="minorHAnsi" w:hAnsi="Cambria Math"/>
                  <w:color w:val="1F497D"/>
                  <w:sz w:val="20"/>
                  <w:szCs w:val="20"/>
                  <w:lang w:val="en-IN"/>
                </w:rPr>
              </m:ctrlPr>
            </m:fPr>
            <m:num>
              <m:r>
                <m:rPr>
                  <m:sty m:val="p"/>
                </m:rPr>
                <w:rPr>
                  <w:rFonts w:ascii="Cambria Math" w:eastAsiaTheme="minorHAnsi" w:hAnsi="Cambria Math"/>
                  <w:color w:val="1F497D"/>
                  <w:sz w:val="20"/>
                  <w:szCs w:val="20"/>
                  <w:lang w:val="en-IN"/>
                </w:rPr>
                <m:t>1</m:t>
              </m:r>
            </m:num>
            <m:den>
              <m:r>
                <m:rPr>
                  <m:sty m:val="p"/>
                </m:rPr>
                <w:rPr>
                  <w:rFonts w:ascii="Cambria Math" w:eastAsiaTheme="minorHAnsi" w:hAnsi="Cambria Math"/>
                  <w:color w:val="1F497D"/>
                  <w:sz w:val="20"/>
                  <w:szCs w:val="20"/>
                  <w:lang w:val="en-IN"/>
                </w:rPr>
                <m:t>1+</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r</m:t>
                  </m:r>
                </m:e>
                <m:sub>
                  <m:r>
                    <w:rPr>
                      <w:rFonts w:ascii="Cambria Math" w:eastAsiaTheme="minorHAnsi" w:hAnsi="Cambria Math"/>
                      <w:color w:val="1F497D"/>
                      <w:sz w:val="20"/>
                      <w:szCs w:val="20"/>
                      <w:lang w:val="en-IN"/>
                    </w:rPr>
                    <m:t>f</m:t>
                  </m:r>
                </m:sub>
              </m:sSub>
            </m:den>
          </m:f>
          <m:d>
            <m:dPr>
              <m:begChr m:val="["/>
              <m:endChr m:val="]"/>
              <m:ctrlPr>
                <w:rPr>
                  <w:rFonts w:ascii="Cambria Math" w:eastAsiaTheme="minorHAnsi" w:hAnsi="Cambria Math"/>
                  <w:color w:val="1F497D"/>
                  <w:sz w:val="20"/>
                  <w:szCs w:val="20"/>
                  <w:lang w:val="en-IN"/>
                </w:rPr>
              </m:ctrlPr>
            </m:dPr>
            <m:e>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E</m:t>
                  </m:r>
                </m:e>
                <m:sub>
                  <m:r>
                    <w:rPr>
                      <w:rFonts w:ascii="Cambria Math" w:eastAsiaTheme="minorHAnsi" w:hAnsi="Cambria Math"/>
                      <w:color w:val="1F497D"/>
                      <w:sz w:val="20"/>
                      <w:szCs w:val="20"/>
                      <w:lang w:val="en-IN"/>
                    </w:rPr>
                    <m:t>t</m:t>
                  </m:r>
                </m:sub>
              </m:sSub>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D</m:t>
                  </m:r>
                </m:e>
                <m:sub>
                  <m:r>
                    <w:rPr>
                      <w:rFonts w:ascii="Cambria Math" w:eastAsiaTheme="minorHAnsi" w:hAnsi="Cambria Math"/>
                      <w:color w:val="1F497D"/>
                      <w:sz w:val="20"/>
                      <w:szCs w:val="20"/>
                      <w:lang w:val="en-IN"/>
                    </w:rPr>
                    <m:t>t</m:t>
                  </m:r>
                  <m:r>
                    <m:rPr>
                      <m:sty m:val="p"/>
                    </m:rPr>
                    <w:rPr>
                      <w:rFonts w:ascii="Cambria Math" w:eastAsiaTheme="minorHAnsi" w:hAnsi="Cambria Math"/>
                      <w:color w:val="1F497D"/>
                      <w:sz w:val="20"/>
                      <w:szCs w:val="20"/>
                      <w:lang w:val="en-IN"/>
                    </w:rPr>
                    <m:t>+1</m:t>
                  </m:r>
                </m:sub>
              </m:sSub>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E</m:t>
                  </m:r>
                </m:e>
                <m:sub>
                  <m:r>
                    <w:rPr>
                      <w:rFonts w:ascii="Cambria Math" w:eastAsiaTheme="minorHAnsi" w:hAnsi="Cambria Math"/>
                      <w:color w:val="1F497D"/>
                      <w:sz w:val="20"/>
                      <w:szCs w:val="20"/>
                      <w:lang w:val="en-IN"/>
                    </w:rPr>
                    <m:t>t</m:t>
                  </m:r>
                </m:sub>
              </m:sSub>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P</m:t>
                  </m:r>
                </m:e>
                <m:sub>
                  <m:r>
                    <w:rPr>
                      <w:rFonts w:ascii="Cambria Math" w:eastAsiaTheme="minorHAnsi" w:hAnsi="Cambria Math"/>
                      <w:color w:val="1F497D"/>
                      <w:sz w:val="20"/>
                      <w:szCs w:val="20"/>
                      <w:lang w:val="en-IN"/>
                    </w:rPr>
                    <m:t>t</m:t>
                  </m:r>
                  <m:r>
                    <m:rPr>
                      <m:sty m:val="p"/>
                    </m:rPr>
                    <w:rPr>
                      <w:rFonts w:ascii="Cambria Math" w:eastAsiaTheme="minorHAnsi" w:hAnsi="Cambria Math"/>
                      <w:color w:val="1F497D"/>
                      <w:sz w:val="20"/>
                      <w:szCs w:val="20"/>
                      <w:lang w:val="en-IN"/>
                    </w:rPr>
                    <m:t>+1</m:t>
                  </m:r>
                </m:sub>
              </m:sSub>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λ</m:t>
                  </m:r>
                </m:e>
                <m:sub>
                  <m:r>
                    <w:rPr>
                      <w:rFonts w:ascii="Cambria Math" w:eastAsiaTheme="minorHAnsi" w:hAnsi="Cambria Math"/>
                      <w:color w:val="1F497D"/>
                      <w:sz w:val="20"/>
                      <w:szCs w:val="20"/>
                      <w:lang w:val="en-IN"/>
                    </w:rPr>
                    <m:t>t</m:t>
                  </m:r>
                </m:sub>
              </m:sSub>
              <m:r>
                <m:rPr>
                  <m:sty m:val="p"/>
                </m:rPr>
                <w:rPr>
                  <w:rFonts w:ascii="Cambria Math" w:eastAsiaTheme="minorHAnsi" w:hAnsi="Cambria Math"/>
                  <w:color w:val="1F497D"/>
                  <w:sz w:val="20"/>
                  <w:szCs w:val="20"/>
                  <w:lang w:val="en-IN"/>
                </w:rPr>
                <m:t>⋅</m:t>
              </m:r>
              <m:r>
                <w:rPr>
                  <w:rFonts w:ascii="Cambria Math" w:eastAsiaTheme="minorHAnsi" w:hAnsi="Cambria Math"/>
                  <w:color w:val="1F497D"/>
                  <w:sz w:val="20"/>
                  <w:szCs w:val="20"/>
                  <w:lang w:val="en-IN"/>
                </w:rPr>
                <m:t>SENTIMEN</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T</m:t>
                  </m:r>
                </m:e>
                <m:sub>
                  <m:r>
                    <w:rPr>
                      <w:rFonts w:ascii="Cambria Math" w:eastAsiaTheme="minorHAnsi" w:hAnsi="Cambria Math"/>
                      <w:color w:val="1F497D"/>
                      <w:sz w:val="20"/>
                      <w:szCs w:val="20"/>
                      <w:lang w:val="en-IN"/>
                    </w:rPr>
                    <m:t>t</m:t>
                  </m:r>
                </m:sub>
              </m:sSub>
            </m:e>
          </m:d>
        </m:oMath>
      </m:oMathPara>
    </w:p>
    <w:p w14:paraId="7031E6EE" w14:textId="77777777" w:rsidR="0041215D" w:rsidRPr="0041215D" w:rsidRDefault="0041215D" w:rsidP="0041215D">
      <w:pPr>
        <w:pStyle w:val="FirstParagraph"/>
        <w:spacing w:after="0"/>
        <w:jc w:val="both"/>
        <w:rPr>
          <w:rFonts w:cs="Times New Roman"/>
          <w:color w:val="1F497D"/>
          <w:sz w:val="20"/>
          <w:szCs w:val="20"/>
          <w:lang w:val="en-IN"/>
        </w:rPr>
      </w:pPr>
      <w:r w:rsidRPr="0041215D">
        <w:rPr>
          <w:rFonts w:cs="Times New Roman"/>
          <w:color w:val="1F497D"/>
          <w:sz w:val="20"/>
          <w:szCs w:val="20"/>
          <w:lang w:val="en-IN"/>
        </w:rPr>
        <w:t>where:</w:t>
      </w:r>
    </w:p>
    <w:p w14:paraId="45753537" w14:textId="77777777" w:rsidR="0041215D" w:rsidRPr="0041215D" w:rsidRDefault="0041215D" w:rsidP="0041215D">
      <w:pPr>
        <w:pStyle w:val="Compact"/>
        <w:numPr>
          <w:ilvl w:val="0"/>
          <w:numId w:val="198"/>
        </w:numPr>
        <w:spacing w:after="0"/>
        <w:jc w:val="both"/>
        <w:rPr>
          <w:rFonts w:cs="Times New Roman"/>
          <w:color w:val="1F497D"/>
          <w:sz w:val="20"/>
          <w:szCs w:val="20"/>
          <w:lang w:val="en-IN"/>
        </w:rPr>
      </w:pPr>
      <m:oMath>
        <m:sSub>
          <m:sSubPr>
            <m:ctrlPr>
              <w:rPr>
                <w:rFonts w:ascii="Cambria Math" w:hAnsi="Cambria Math" w:cs="Times New Roman"/>
                <w:color w:val="1F497D"/>
                <w:sz w:val="20"/>
                <w:szCs w:val="20"/>
                <w:lang w:val="en-IN"/>
              </w:rPr>
            </m:ctrlPr>
          </m:sSubPr>
          <m:e>
            <m:r>
              <w:rPr>
                <w:rFonts w:ascii="Cambria Math" w:hAnsi="Cambria Math" w:cs="Times New Roman"/>
                <w:color w:val="1F497D"/>
                <w:sz w:val="20"/>
                <w:szCs w:val="20"/>
                <w:lang w:val="en-IN"/>
              </w:rPr>
              <m:t>r</m:t>
            </m:r>
          </m:e>
          <m:sub>
            <m:r>
              <w:rPr>
                <w:rFonts w:ascii="Cambria Math" w:hAnsi="Cambria Math" w:cs="Times New Roman"/>
                <w:color w:val="1F497D"/>
                <w:sz w:val="20"/>
                <w:szCs w:val="20"/>
                <w:lang w:val="en-IN"/>
              </w:rPr>
              <m:t>f</m:t>
            </m:r>
          </m:sub>
        </m:sSub>
      </m:oMath>
      <w:r w:rsidRPr="0041215D">
        <w:rPr>
          <w:rFonts w:cs="Times New Roman"/>
          <w:color w:val="1F497D"/>
          <w:sz w:val="20"/>
          <w:szCs w:val="20"/>
          <w:lang w:val="en-IN"/>
        </w:rPr>
        <w:t xml:space="preserve"> is the risk-free rate.</w:t>
      </w:r>
    </w:p>
    <w:p w14:paraId="3C876974" w14:textId="77777777" w:rsidR="0041215D" w:rsidRPr="0041215D" w:rsidRDefault="0041215D" w:rsidP="0041215D">
      <w:pPr>
        <w:pStyle w:val="Compact"/>
        <w:numPr>
          <w:ilvl w:val="0"/>
          <w:numId w:val="198"/>
        </w:numPr>
        <w:spacing w:after="0"/>
        <w:jc w:val="both"/>
        <w:rPr>
          <w:rFonts w:cs="Times New Roman"/>
          <w:color w:val="1F497D"/>
          <w:sz w:val="20"/>
          <w:szCs w:val="20"/>
          <w:lang w:val="en-IN"/>
        </w:rPr>
      </w:pPr>
      <m:oMath>
        <m:sSub>
          <m:sSubPr>
            <m:ctrlPr>
              <w:rPr>
                <w:rFonts w:ascii="Cambria Math" w:hAnsi="Cambria Math" w:cs="Times New Roman"/>
                <w:color w:val="1F497D"/>
                <w:sz w:val="20"/>
                <w:szCs w:val="20"/>
                <w:lang w:val="en-IN"/>
              </w:rPr>
            </m:ctrlPr>
          </m:sSubPr>
          <m:e>
            <m:r>
              <w:rPr>
                <w:rFonts w:ascii="Cambria Math" w:hAnsi="Cambria Math" w:cs="Times New Roman"/>
                <w:color w:val="1F497D"/>
                <w:sz w:val="20"/>
                <w:szCs w:val="20"/>
                <w:lang w:val="en-IN"/>
              </w:rPr>
              <m:t>E</m:t>
            </m:r>
          </m:e>
          <m:sub>
            <m:r>
              <w:rPr>
                <w:rFonts w:ascii="Cambria Math" w:hAnsi="Cambria Math" w:cs="Times New Roman"/>
                <w:color w:val="1F497D"/>
                <w:sz w:val="20"/>
                <w:szCs w:val="20"/>
                <w:lang w:val="en-IN"/>
              </w:rPr>
              <m:t>t</m:t>
            </m:r>
          </m:sub>
        </m:sSub>
        <m:r>
          <m:rPr>
            <m:sty m:val="p"/>
          </m:rPr>
          <w:rPr>
            <w:rFonts w:ascii="Cambria Math" w:hAnsi="Cambria Math" w:cs="Times New Roman"/>
            <w:color w:val="1F497D"/>
            <w:sz w:val="20"/>
            <w:szCs w:val="20"/>
            <w:lang w:val="en-IN"/>
          </w:rPr>
          <m:t>(</m:t>
        </m:r>
        <m:sSub>
          <m:sSubPr>
            <m:ctrlPr>
              <w:rPr>
                <w:rFonts w:ascii="Cambria Math" w:hAnsi="Cambria Math" w:cs="Times New Roman"/>
                <w:color w:val="1F497D"/>
                <w:sz w:val="20"/>
                <w:szCs w:val="20"/>
                <w:lang w:val="en-IN"/>
              </w:rPr>
            </m:ctrlPr>
          </m:sSubPr>
          <m:e>
            <m:r>
              <w:rPr>
                <w:rFonts w:ascii="Cambria Math" w:hAnsi="Cambria Math" w:cs="Times New Roman"/>
                <w:color w:val="1F497D"/>
                <w:sz w:val="20"/>
                <w:szCs w:val="20"/>
                <w:lang w:val="en-IN"/>
              </w:rPr>
              <m:t>D</m:t>
            </m:r>
          </m:e>
          <m:sub>
            <m:r>
              <w:rPr>
                <w:rFonts w:ascii="Cambria Math" w:hAnsi="Cambria Math" w:cs="Times New Roman"/>
                <w:color w:val="1F497D"/>
                <w:sz w:val="20"/>
                <w:szCs w:val="20"/>
                <w:lang w:val="en-IN"/>
              </w:rPr>
              <m:t>t</m:t>
            </m:r>
            <m:r>
              <m:rPr>
                <m:sty m:val="p"/>
              </m:rPr>
              <w:rPr>
                <w:rFonts w:ascii="Cambria Math" w:hAnsi="Cambria Math" w:cs="Times New Roman"/>
                <w:color w:val="1F497D"/>
                <w:sz w:val="20"/>
                <w:szCs w:val="20"/>
                <w:lang w:val="en-IN"/>
              </w:rPr>
              <m:t>+1</m:t>
            </m:r>
          </m:sub>
        </m:sSub>
        <m:r>
          <m:rPr>
            <m:sty m:val="p"/>
          </m:rPr>
          <w:rPr>
            <w:rFonts w:ascii="Cambria Math" w:hAnsi="Cambria Math" w:cs="Times New Roman"/>
            <w:color w:val="1F497D"/>
            <w:sz w:val="20"/>
            <w:szCs w:val="20"/>
            <w:lang w:val="en-IN"/>
          </w:rPr>
          <m:t>)</m:t>
        </m:r>
      </m:oMath>
      <w:r w:rsidRPr="0041215D">
        <w:rPr>
          <w:rFonts w:cs="Times New Roman"/>
          <w:color w:val="1F497D"/>
          <w:sz w:val="20"/>
          <w:szCs w:val="20"/>
          <w:lang w:val="en-IN"/>
        </w:rPr>
        <w:t xml:space="preserve"> is the expected dividend.</w:t>
      </w:r>
    </w:p>
    <w:p w14:paraId="31E56540" w14:textId="77777777" w:rsidR="0041215D" w:rsidRPr="0041215D" w:rsidRDefault="0041215D" w:rsidP="0041215D">
      <w:pPr>
        <w:pStyle w:val="Compact"/>
        <w:numPr>
          <w:ilvl w:val="0"/>
          <w:numId w:val="198"/>
        </w:numPr>
        <w:spacing w:after="0"/>
        <w:jc w:val="both"/>
        <w:rPr>
          <w:rFonts w:cs="Times New Roman"/>
          <w:color w:val="1F497D"/>
          <w:sz w:val="20"/>
          <w:szCs w:val="20"/>
          <w:lang w:val="en-IN"/>
        </w:rPr>
      </w:pPr>
      <m:oMath>
        <m:sSub>
          <m:sSubPr>
            <m:ctrlPr>
              <w:rPr>
                <w:rFonts w:ascii="Cambria Math" w:hAnsi="Cambria Math" w:cs="Times New Roman"/>
                <w:color w:val="1F497D"/>
                <w:sz w:val="20"/>
                <w:szCs w:val="20"/>
                <w:lang w:val="en-IN"/>
              </w:rPr>
            </m:ctrlPr>
          </m:sSubPr>
          <m:e>
            <m:r>
              <w:rPr>
                <w:rFonts w:ascii="Cambria Math" w:hAnsi="Cambria Math" w:cs="Times New Roman"/>
                <w:color w:val="1F497D"/>
                <w:sz w:val="20"/>
                <w:szCs w:val="20"/>
                <w:lang w:val="en-IN"/>
              </w:rPr>
              <m:t>λ</m:t>
            </m:r>
          </m:e>
          <m:sub>
            <m:r>
              <w:rPr>
                <w:rFonts w:ascii="Cambria Math" w:hAnsi="Cambria Math" w:cs="Times New Roman"/>
                <w:color w:val="1F497D"/>
                <w:sz w:val="20"/>
                <w:szCs w:val="20"/>
                <w:lang w:val="en-IN"/>
              </w:rPr>
              <m:t>t</m:t>
            </m:r>
          </m:sub>
        </m:sSub>
      </m:oMath>
      <w:r w:rsidRPr="0041215D">
        <w:rPr>
          <w:rFonts w:cs="Times New Roman"/>
          <w:color w:val="1F497D"/>
          <w:sz w:val="20"/>
          <w:szCs w:val="20"/>
          <w:lang w:val="en-IN"/>
        </w:rPr>
        <w:t xml:space="preserve"> is a time-varying mispricing coefficient, proportional to the capital deployed by behavioral investors and the constraints of arbitrageurs (e.g., during a liquidity crisis).</w:t>
      </w:r>
    </w:p>
    <w:p w14:paraId="486A277C" w14:textId="77777777" w:rsidR="0041215D" w:rsidRPr="0041215D" w:rsidRDefault="0041215D" w:rsidP="0041215D">
      <w:pPr>
        <w:pStyle w:val="Compact"/>
        <w:numPr>
          <w:ilvl w:val="0"/>
          <w:numId w:val="198"/>
        </w:numPr>
        <w:spacing w:after="0"/>
        <w:jc w:val="both"/>
        <w:rPr>
          <w:rFonts w:cs="Times New Roman"/>
          <w:color w:val="1F497D"/>
          <w:sz w:val="20"/>
          <w:szCs w:val="20"/>
          <w:lang w:val="en-IN"/>
        </w:rPr>
      </w:pPr>
      <m:oMath>
        <m:r>
          <w:rPr>
            <w:rFonts w:ascii="Cambria Math" w:hAnsi="Cambria Math" w:cs="Times New Roman"/>
            <w:color w:val="1F497D"/>
            <w:sz w:val="20"/>
            <w:szCs w:val="20"/>
            <w:lang w:val="en-IN"/>
          </w:rPr>
          <m:t>SENTIMEN</m:t>
        </m:r>
        <m:sSub>
          <m:sSubPr>
            <m:ctrlPr>
              <w:rPr>
                <w:rFonts w:ascii="Cambria Math" w:hAnsi="Cambria Math" w:cs="Times New Roman"/>
                <w:color w:val="1F497D"/>
                <w:sz w:val="20"/>
                <w:szCs w:val="20"/>
                <w:lang w:val="en-IN"/>
              </w:rPr>
            </m:ctrlPr>
          </m:sSubPr>
          <m:e>
            <m:r>
              <w:rPr>
                <w:rFonts w:ascii="Cambria Math" w:hAnsi="Cambria Math" w:cs="Times New Roman"/>
                <w:color w:val="1F497D"/>
                <w:sz w:val="20"/>
                <w:szCs w:val="20"/>
                <w:lang w:val="en-IN"/>
              </w:rPr>
              <m:t>T</m:t>
            </m:r>
          </m:e>
          <m:sub>
            <m:r>
              <w:rPr>
                <w:rFonts w:ascii="Cambria Math" w:hAnsi="Cambria Math" w:cs="Times New Roman"/>
                <w:color w:val="1F497D"/>
                <w:sz w:val="20"/>
                <w:szCs w:val="20"/>
                <w:lang w:val="en-IN"/>
              </w:rPr>
              <m:t>t</m:t>
            </m:r>
          </m:sub>
        </m:sSub>
      </m:oMath>
      <w:r w:rsidRPr="0041215D">
        <w:rPr>
          <w:rFonts w:cs="Times New Roman"/>
          <w:color w:val="1F497D"/>
          <w:sz w:val="20"/>
          <w:szCs w:val="20"/>
          <w:lang w:val="en-IN"/>
        </w:rPr>
        <w:t xml:space="preserve"> is a composite sentiment index.</w:t>
      </w:r>
    </w:p>
    <w:p w14:paraId="2B7994B8" w14:textId="77777777" w:rsidR="0041215D" w:rsidRPr="0041215D" w:rsidRDefault="0041215D" w:rsidP="0041215D">
      <w:pPr>
        <w:pStyle w:val="FirstParagraph"/>
        <w:spacing w:after="0"/>
        <w:jc w:val="both"/>
        <w:rPr>
          <w:rFonts w:cs="Times New Roman"/>
          <w:color w:val="1F497D"/>
          <w:sz w:val="20"/>
          <w:szCs w:val="20"/>
          <w:lang w:val="en-IN"/>
        </w:rPr>
      </w:pPr>
      <w:r w:rsidRPr="0041215D">
        <w:rPr>
          <w:rFonts w:cs="Times New Roman"/>
          <w:color w:val="1F497D"/>
          <w:sz w:val="20"/>
          <w:szCs w:val="20"/>
          <w:lang w:val="en-IN"/>
        </w:rPr>
        <w:t xml:space="preserve">We define </w:t>
      </w:r>
      <m:oMath>
        <m:r>
          <w:rPr>
            <w:rFonts w:ascii="Cambria Math" w:hAnsi="Cambria Math" w:cs="Times New Roman"/>
            <w:color w:val="1F497D"/>
            <w:sz w:val="20"/>
            <w:szCs w:val="20"/>
            <w:lang w:val="en-IN"/>
          </w:rPr>
          <m:t>SENTIMEN</m:t>
        </m:r>
        <m:sSub>
          <m:sSubPr>
            <m:ctrlPr>
              <w:rPr>
                <w:rFonts w:ascii="Cambria Math" w:hAnsi="Cambria Math" w:cs="Times New Roman"/>
                <w:color w:val="1F497D"/>
                <w:sz w:val="20"/>
                <w:szCs w:val="20"/>
                <w:lang w:val="en-IN"/>
              </w:rPr>
            </m:ctrlPr>
          </m:sSubPr>
          <m:e>
            <m:r>
              <w:rPr>
                <w:rFonts w:ascii="Cambria Math" w:hAnsi="Cambria Math" w:cs="Times New Roman"/>
                <w:color w:val="1F497D"/>
                <w:sz w:val="20"/>
                <w:szCs w:val="20"/>
                <w:lang w:val="en-IN"/>
              </w:rPr>
              <m:t>T</m:t>
            </m:r>
          </m:e>
          <m:sub>
            <m:r>
              <w:rPr>
                <w:rFonts w:ascii="Cambria Math" w:hAnsi="Cambria Math" w:cs="Times New Roman"/>
                <w:color w:val="1F497D"/>
                <w:sz w:val="20"/>
                <w:szCs w:val="20"/>
                <w:lang w:val="en-IN"/>
              </w:rPr>
              <m:t>t</m:t>
            </m:r>
          </m:sub>
        </m:sSub>
      </m:oMath>
      <w:r w:rsidRPr="0041215D">
        <w:rPr>
          <w:rFonts w:cs="Times New Roman"/>
          <w:color w:val="1F497D"/>
          <w:sz w:val="20"/>
          <w:szCs w:val="20"/>
          <w:lang w:val="en-IN"/>
        </w:rPr>
        <w:t xml:space="preserve"> as a linear combination of behavioral factors:</w:t>
      </w:r>
    </w:p>
    <w:p w14:paraId="724B140F" w14:textId="77777777" w:rsidR="0041215D" w:rsidRPr="0041215D" w:rsidRDefault="0041215D" w:rsidP="0041215D">
      <w:pPr>
        <w:pStyle w:val="BodyText"/>
        <w:jc w:val="both"/>
        <w:rPr>
          <w:rFonts w:eastAsiaTheme="minorHAnsi"/>
          <w:color w:val="1F497D"/>
          <w:sz w:val="20"/>
          <w:szCs w:val="20"/>
          <w:lang w:val="en-IN"/>
        </w:rPr>
      </w:pPr>
      <m:oMathPara>
        <m:oMathParaPr>
          <m:jc m:val="center"/>
        </m:oMathParaPr>
        <m:oMath>
          <m:r>
            <w:rPr>
              <w:rFonts w:ascii="Cambria Math" w:eastAsiaTheme="minorHAnsi" w:hAnsi="Cambria Math"/>
              <w:color w:val="1F497D"/>
              <w:sz w:val="20"/>
              <w:szCs w:val="20"/>
              <w:lang w:val="en-IN"/>
            </w:rPr>
            <m:t>SENTIMEN</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T</m:t>
              </m:r>
            </m:e>
            <m:sub>
              <m:r>
                <w:rPr>
                  <w:rFonts w:ascii="Cambria Math" w:eastAsiaTheme="minorHAnsi" w:hAnsi="Cambria Math"/>
                  <w:color w:val="1F497D"/>
                  <w:sz w:val="20"/>
                  <w:szCs w:val="20"/>
                  <w:lang w:val="en-IN"/>
                </w:rPr>
                <m:t>t</m:t>
              </m:r>
            </m:sub>
          </m:sSub>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ω</m:t>
              </m:r>
            </m:e>
            <m:sub>
              <m:r>
                <m:rPr>
                  <m:sty m:val="p"/>
                </m:rPr>
                <w:rPr>
                  <w:rFonts w:ascii="Cambria Math" w:eastAsiaTheme="minorHAnsi" w:hAnsi="Cambria Math"/>
                  <w:color w:val="1F497D"/>
                  <w:sz w:val="20"/>
                  <w:szCs w:val="20"/>
                  <w:lang w:val="en-IN"/>
                </w:rPr>
                <m:t>1</m:t>
              </m:r>
            </m:sub>
          </m:sSub>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m:rPr>
                  <m:nor/>
                </m:rPr>
                <w:rPr>
                  <w:rFonts w:eastAsiaTheme="minorHAnsi"/>
                  <w:color w:val="1F497D"/>
                  <w:sz w:val="20"/>
                  <w:szCs w:val="20"/>
                  <w:lang w:val="en-IN"/>
                </w:rPr>
                <m:t>HERD</m:t>
              </m:r>
            </m:e>
            <m:sub>
              <m:r>
                <w:rPr>
                  <w:rFonts w:ascii="Cambria Math" w:eastAsiaTheme="minorHAnsi" w:hAnsi="Cambria Math"/>
                  <w:color w:val="1F497D"/>
                  <w:sz w:val="20"/>
                  <w:szCs w:val="20"/>
                  <w:lang w:val="en-IN"/>
                </w:rPr>
                <m:t>t</m:t>
              </m:r>
            </m:sub>
          </m:sSub>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ω</m:t>
              </m:r>
            </m:e>
            <m:sub>
              <m:r>
                <m:rPr>
                  <m:sty m:val="p"/>
                </m:rPr>
                <w:rPr>
                  <w:rFonts w:ascii="Cambria Math" w:eastAsiaTheme="minorHAnsi" w:hAnsi="Cambria Math"/>
                  <w:color w:val="1F497D"/>
                  <w:sz w:val="20"/>
                  <w:szCs w:val="20"/>
                  <w:lang w:val="en-IN"/>
                </w:rPr>
                <m:t>2</m:t>
              </m:r>
            </m:sub>
          </m:sSub>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m:rPr>
                  <m:nor/>
                </m:rPr>
                <w:rPr>
                  <w:rFonts w:eastAsiaTheme="minorHAnsi"/>
                  <w:color w:val="1F497D"/>
                  <w:sz w:val="20"/>
                  <w:szCs w:val="20"/>
                  <w:lang w:val="en-IN"/>
                </w:rPr>
                <m:t>FEAR</m:t>
              </m:r>
            </m:e>
            <m:sub>
              <m:r>
                <w:rPr>
                  <w:rFonts w:ascii="Cambria Math" w:eastAsiaTheme="minorHAnsi" w:hAnsi="Cambria Math"/>
                  <w:color w:val="1F497D"/>
                  <w:sz w:val="20"/>
                  <w:szCs w:val="20"/>
                  <w:lang w:val="en-IN"/>
                </w:rPr>
                <m:t>t</m:t>
              </m:r>
            </m:sub>
          </m:sSub>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w:rPr>
                  <w:rFonts w:ascii="Cambria Math" w:eastAsiaTheme="minorHAnsi" w:hAnsi="Cambria Math"/>
                  <w:color w:val="1F497D"/>
                  <w:sz w:val="20"/>
                  <w:szCs w:val="20"/>
                  <w:lang w:val="en-IN"/>
                </w:rPr>
                <m:t>ω</m:t>
              </m:r>
            </m:e>
            <m:sub>
              <m:r>
                <m:rPr>
                  <m:sty m:val="p"/>
                </m:rPr>
                <w:rPr>
                  <w:rFonts w:ascii="Cambria Math" w:eastAsiaTheme="minorHAnsi" w:hAnsi="Cambria Math"/>
                  <w:color w:val="1F497D"/>
                  <w:sz w:val="20"/>
                  <w:szCs w:val="20"/>
                  <w:lang w:val="en-IN"/>
                </w:rPr>
                <m:t>3</m:t>
              </m:r>
            </m:sub>
          </m:sSub>
          <m:r>
            <m:rPr>
              <m:sty m:val="p"/>
            </m:rPr>
            <w:rPr>
              <w:rFonts w:ascii="Cambria Math" w:eastAsiaTheme="minorHAnsi" w:hAnsi="Cambria Math"/>
              <w:color w:val="1F497D"/>
              <w:sz w:val="20"/>
              <w:szCs w:val="20"/>
              <w:lang w:val="en-IN"/>
            </w:rPr>
            <m:t>⋅</m:t>
          </m:r>
          <m:sSub>
            <m:sSubPr>
              <m:ctrlPr>
                <w:rPr>
                  <w:rFonts w:ascii="Cambria Math" w:eastAsiaTheme="minorHAnsi" w:hAnsi="Cambria Math"/>
                  <w:color w:val="1F497D"/>
                  <w:sz w:val="20"/>
                  <w:szCs w:val="20"/>
                  <w:lang w:val="en-IN"/>
                </w:rPr>
              </m:ctrlPr>
            </m:sSubPr>
            <m:e>
              <m:r>
                <m:rPr>
                  <m:nor/>
                </m:rPr>
                <w:rPr>
                  <w:rFonts w:eastAsiaTheme="minorHAnsi"/>
                  <w:color w:val="1F497D"/>
                  <w:sz w:val="20"/>
                  <w:szCs w:val="20"/>
                  <w:lang w:val="en-IN"/>
                </w:rPr>
                <m:t>OVERCONF</m:t>
              </m:r>
            </m:e>
            <m:sub>
              <m:r>
                <w:rPr>
                  <w:rFonts w:ascii="Cambria Math" w:eastAsiaTheme="minorHAnsi" w:hAnsi="Cambria Math"/>
                  <w:color w:val="1F497D"/>
                  <w:sz w:val="20"/>
                  <w:szCs w:val="20"/>
                  <w:lang w:val="en-IN"/>
                </w:rPr>
                <m:t>t</m:t>
              </m:r>
            </m:sub>
          </m:sSub>
        </m:oMath>
      </m:oMathPara>
    </w:p>
    <w:p w14:paraId="454D6CA6" w14:textId="77777777" w:rsidR="0041215D" w:rsidRPr="0041215D" w:rsidRDefault="0041215D" w:rsidP="0041215D">
      <w:pPr>
        <w:pStyle w:val="FirstParagraph"/>
        <w:spacing w:after="0"/>
        <w:jc w:val="both"/>
        <w:rPr>
          <w:rFonts w:cs="Times New Roman"/>
          <w:color w:val="1F497D"/>
          <w:sz w:val="20"/>
          <w:szCs w:val="20"/>
          <w:lang w:val="en-IN"/>
        </w:rPr>
      </w:pPr>
      <w:r w:rsidRPr="0041215D">
        <w:rPr>
          <w:rFonts w:cs="Times New Roman"/>
          <w:color w:val="1F497D"/>
          <w:sz w:val="20"/>
          <w:szCs w:val="20"/>
          <w:lang w:val="en-IN"/>
        </w:rPr>
        <w:t xml:space="preserve">where </w:t>
      </w:r>
      <m:oMath>
        <m:sSub>
          <m:sSubPr>
            <m:ctrlPr>
              <w:rPr>
                <w:rFonts w:ascii="Cambria Math" w:hAnsi="Cambria Math" w:cs="Times New Roman"/>
                <w:color w:val="1F497D"/>
                <w:sz w:val="20"/>
                <w:szCs w:val="20"/>
                <w:lang w:val="en-IN"/>
              </w:rPr>
            </m:ctrlPr>
          </m:sSubPr>
          <m:e>
            <m:r>
              <m:rPr>
                <m:nor/>
              </m:rPr>
              <w:rPr>
                <w:rFonts w:cs="Times New Roman"/>
                <w:color w:val="1F497D"/>
                <w:sz w:val="20"/>
                <w:szCs w:val="20"/>
                <w:lang w:val="en-IN"/>
              </w:rPr>
              <m:t>HERD</m:t>
            </m:r>
          </m:e>
          <m:sub>
            <m:r>
              <w:rPr>
                <w:rFonts w:ascii="Cambria Math" w:hAnsi="Cambria Math" w:cs="Times New Roman"/>
                <w:color w:val="1F497D"/>
                <w:sz w:val="20"/>
                <w:szCs w:val="20"/>
                <w:lang w:val="en-IN"/>
              </w:rPr>
              <m:t>t</m:t>
            </m:r>
          </m:sub>
        </m:sSub>
      </m:oMath>
      <w:r w:rsidRPr="0041215D">
        <w:rPr>
          <w:rFonts w:cs="Times New Roman"/>
          <w:color w:val="1F497D"/>
          <w:sz w:val="20"/>
          <w:szCs w:val="20"/>
          <w:lang w:val="en-IN"/>
        </w:rPr>
        <w:t xml:space="preserve"> could be measured by order flow correlation, </w:t>
      </w:r>
      <m:oMath>
        <m:sSub>
          <m:sSubPr>
            <m:ctrlPr>
              <w:rPr>
                <w:rFonts w:ascii="Cambria Math" w:hAnsi="Cambria Math" w:cs="Times New Roman"/>
                <w:color w:val="1F497D"/>
                <w:sz w:val="20"/>
                <w:szCs w:val="20"/>
                <w:lang w:val="en-IN"/>
              </w:rPr>
            </m:ctrlPr>
          </m:sSubPr>
          <m:e>
            <m:r>
              <m:rPr>
                <m:nor/>
              </m:rPr>
              <w:rPr>
                <w:rFonts w:cs="Times New Roman"/>
                <w:color w:val="1F497D"/>
                <w:sz w:val="20"/>
                <w:szCs w:val="20"/>
                <w:lang w:val="en-IN"/>
              </w:rPr>
              <m:t>FEAR</m:t>
            </m:r>
          </m:e>
          <m:sub>
            <m:r>
              <w:rPr>
                <w:rFonts w:ascii="Cambria Math" w:hAnsi="Cambria Math" w:cs="Times New Roman"/>
                <w:color w:val="1F497D"/>
                <w:sz w:val="20"/>
                <w:szCs w:val="20"/>
                <w:lang w:val="en-IN"/>
              </w:rPr>
              <m:t>t</m:t>
            </m:r>
          </m:sub>
        </m:sSub>
      </m:oMath>
      <w:r w:rsidRPr="0041215D">
        <w:rPr>
          <w:rFonts w:cs="Times New Roman"/>
          <w:color w:val="1F497D"/>
          <w:sz w:val="20"/>
          <w:szCs w:val="20"/>
          <w:lang w:val="en-IN"/>
        </w:rPr>
        <w:t xml:space="preserve"> by the VIX index or the uncertainty index of [10], and </w:t>
      </w:r>
      <m:oMath>
        <m:sSub>
          <m:sSubPr>
            <m:ctrlPr>
              <w:rPr>
                <w:rFonts w:ascii="Cambria Math" w:hAnsi="Cambria Math" w:cs="Times New Roman"/>
                <w:color w:val="1F497D"/>
                <w:sz w:val="20"/>
                <w:szCs w:val="20"/>
                <w:lang w:val="en-IN"/>
              </w:rPr>
            </m:ctrlPr>
          </m:sSubPr>
          <m:e>
            <m:r>
              <m:rPr>
                <m:nor/>
              </m:rPr>
              <w:rPr>
                <w:rFonts w:cs="Times New Roman"/>
                <w:color w:val="1F497D"/>
                <w:sz w:val="20"/>
                <w:szCs w:val="20"/>
                <w:lang w:val="en-IN"/>
              </w:rPr>
              <m:t>OVERCONF</m:t>
            </m:r>
          </m:e>
          <m:sub>
            <m:r>
              <w:rPr>
                <w:rFonts w:ascii="Cambria Math" w:hAnsi="Cambria Math" w:cs="Times New Roman"/>
                <w:color w:val="1F497D"/>
                <w:sz w:val="20"/>
                <w:szCs w:val="20"/>
                <w:lang w:val="en-IN"/>
              </w:rPr>
              <m:t>t</m:t>
            </m:r>
          </m:sub>
        </m:sSub>
      </m:oMath>
      <w:r w:rsidRPr="0041215D">
        <w:rPr>
          <w:rFonts w:cs="Times New Roman"/>
          <w:color w:val="1F497D"/>
          <w:sz w:val="20"/>
          <w:szCs w:val="20"/>
          <w:lang w:val="en-IN"/>
        </w:rPr>
        <w:t xml:space="preserve"> by the ratio of small-volume trades to large-volume trades. The dynamics of this model generate much higher and more persistent volatility than a rational model, as the sentiment term itself becomes highly volatile during crises.</w:t>
      </w:r>
    </w:p>
    <w:p w14:paraId="464DF70B" w14:textId="77777777" w:rsidR="0041215D" w:rsidRPr="0041215D" w:rsidRDefault="0041215D" w:rsidP="0041215D">
      <w:pPr>
        <w:pStyle w:val="Heading3"/>
        <w:spacing w:line="240" w:lineRule="auto"/>
        <w:jc w:val="both"/>
        <w:rPr>
          <w:rFonts w:ascii="Times New Roman" w:eastAsiaTheme="minorHAnsi" w:hAnsi="Times New Roman" w:cs="Times New Roman"/>
          <w:color w:val="1F497D"/>
          <w:sz w:val="20"/>
          <w:szCs w:val="20"/>
        </w:rPr>
      </w:pPr>
      <w:bookmarkStart w:id="1" w:name="empirical-analysis-and-case-studies"/>
      <w:bookmarkEnd w:id="0"/>
      <w:r w:rsidRPr="0041215D">
        <w:rPr>
          <w:rFonts w:ascii="Times New Roman" w:eastAsiaTheme="minorHAnsi" w:hAnsi="Times New Roman" w:cs="Times New Roman"/>
          <w:color w:val="1F497D"/>
          <w:sz w:val="20"/>
          <w:szCs w:val="20"/>
        </w:rPr>
        <w:t>4. Empirical Analysis and Case Studies</w:t>
      </w:r>
    </w:p>
    <w:p w14:paraId="380B3990" w14:textId="77777777" w:rsidR="0041215D" w:rsidRPr="0041215D" w:rsidRDefault="0041215D" w:rsidP="0041215D">
      <w:pPr>
        <w:pStyle w:val="FirstParagraph"/>
        <w:spacing w:after="0"/>
        <w:jc w:val="both"/>
        <w:rPr>
          <w:rFonts w:cs="Times New Roman"/>
          <w:color w:val="1F497D"/>
          <w:sz w:val="20"/>
          <w:szCs w:val="20"/>
          <w:lang w:val="en-IN"/>
        </w:rPr>
      </w:pPr>
      <w:r w:rsidRPr="0041215D">
        <w:rPr>
          <w:rFonts w:cs="Times New Roman"/>
          <w:color w:val="1F497D"/>
          <w:sz w:val="20"/>
          <w:szCs w:val="20"/>
          <w:lang w:val="en-IN"/>
        </w:rPr>
        <w:t>This section applies the theoretical framework to two distinct crisis events: the 2008 Global Financial Crisis (GFC) and the 2020 COVID-19 Crash. We analyze these through the lens of behavioral models and present supporting data.</w:t>
      </w:r>
    </w:p>
    <w:p w14:paraId="21AC179D" w14:textId="77777777" w:rsidR="0041215D" w:rsidRPr="0041215D" w:rsidRDefault="0041215D" w:rsidP="0041215D">
      <w:pPr>
        <w:pStyle w:val="BodyText"/>
        <w:jc w:val="both"/>
        <w:rPr>
          <w:rFonts w:eastAsiaTheme="minorHAnsi"/>
          <w:color w:val="1F497D"/>
          <w:sz w:val="20"/>
          <w:szCs w:val="20"/>
          <w:lang w:val="en-IN"/>
        </w:rPr>
      </w:pPr>
      <w:r w:rsidRPr="0041215D">
        <w:rPr>
          <w:rFonts w:eastAsiaTheme="minorHAnsi"/>
          <w:color w:val="1F497D"/>
          <w:sz w:val="20"/>
          <w:szCs w:val="20"/>
          <w:lang w:val="en-IN"/>
        </w:rPr>
        <w:t>4.1 Case Study 1: The 2008 Global Financial Crisis (GFC)</w:t>
      </w:r>
    </w:p>
    <w:p w14:paraId="6212B4C1" w14:textId="77777777" w:rsidR="0041215D" w:rsidRPr="0041215D" w:rsidRDefault="0041215D" w:rsidP="0041215D">
      <w:pPr>
        <w:pStyle w:val="BodyText"/>
        <w:jc w:val="both"/>
        <w:rPr>
          <w:rFonts w:eastAsiaTheme="minorHAnsi"/>
          <w:color w:val="1F497D"/>
          <w:sz w:val="20"/>
          <w:szCs w:val="20"/>
          <w:lang w:val="en-IN"/>
        </w:rPr>
      </w:pPr>
      <w:r w:rsidRPr="0041215D">
        <w:rPr>
          <w:rFonts w:eastAsiaTheme="minorHAnsi"/>
          <w:color w:val="1F497D"/>
          <w:sz w:val="20"/>
          <w:szCs w:val="20"/>
          <w:lang w:val="en-IN"/>
        </w:rPr>
        <w:t>The GFC was a "slow-burn" crisis fueled by a combination of fundamental credit risks and escalating behavioral factors.</w:t>
      </w:r>
    </w:p>
    <w:p w14:paraId="02AD3E56" w14:textId="77777777" w:rsidR="0041215D" w:rsidRPr="0041215D" w:rsidRDefault="0041215D" w:rsidP="0041215D">
      <w:pPr>
        <w:numPr>
          <w:ilvl w:val="0"/>
          <w:numId w:val="198"/>
        </w:num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Loss Aversion and the Disposition Effect: As housing prices fell and complex securities like CDOs began to lose value, the disposition effect—the tendency to sell winners too early and hold losers too long—initially prevented a full-scale liquidation. This is consistent with the convex region of the Prospect Theory value function. However, once losses breached a critical threshold (e.g., the collapse of Lehman Brothers), loss aversion (</w:t>
      </w:r>
      <m:oMath>
        <m:r>
          <w:rPr>
            <w:rFonts w:ascii="Cambria Math" w:hAnsi="Cambria Math" w:cs="Times New Roman"/>
            <w:color w:val="1F497D"/>
            <w:sz w:val="20"/>
            <w:szCs w:val="20"/>
          </w:rPr>
          <m:t>λ</m:t>
        </m:r>
      </m:oMath>
      <w:r w:rsidRPr="0041215D">
        <w:rPr>
          <w:rFonts w:ascii="Times New Roman" w:hAnsi="Times New Roman" w:cs="Times New Roman"/>
          <w:color w:val="1F497D"/>
          <w:sz w:val="20"/>
          <w:szCs w:val="20"/>
        </w:rPr>
        <w:t>) dominated, triggering a massive, coordinated sell-off. The volatility, as measured by the VIX index, spiked to unprecedented levels (see Table 1).</w:t>
      </w:r>
    </w:p>
    <w:p w14:paraId="4B3D2423" w14:textId="77777777" w:rsidR="0041215D" w:rsidRPr="0041215D" w:rsidRDefault="0041215D" w:rsidP="0041215D">
      <w:pPr>
        <w:numPr>
          <w:ilvl w:val="0"/>
          <w:numId w:val="198"/>
        </w:num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Herd Behavior among Institutions: The GFC was characterized by herding not among retail investors, but among large, sophisticated institutions. As modeled in Section 3.2, the public signal of other institutions selling complex assets or the downgrading of mortgage-backed securities by rating agencies created a rational information cascade. The following table illustrates the correlated decline in asset prices.</w:t>
      </w:r>
    </w:p>
    <w:p w14:paraId="03A023B8" w14:textId="77777777" w:rsidR="0041215D" w:rsidRPr="0041215D" w:rsidRDefault="0041215D" w:rsidP="0041215D">
      <w:pPr>
        <w:pStyle w:val="FirstParagraph"/>
        <w:spacing w:after="0"/>
        <w:jc w:val="both"/>
        <w:rPr>
          <w:rFonts w:cs="Times New Roman"/>
          <w:color w:val="1F497D"/>
          <w:sz w:val="20"/>
          <w:szCs w:val="20"/>
          <w:lang w:val="en-IN"/>
        </w:rPr>
      </w:pPr>
      <w:r w:rsidRPr="0041215D">
        <w:rPr>
          <w:rFonts w:cs="Times New Roman"/>
          <w:color w:val="1F497D"/>
          <w:sz w:val="20"/>
          <w:szCs w:val="20"/>
          <w:lang w:val="en-IN"/>
        </w:rPr>
        <w:t>Table 1: Correlated Declines During the 2008 GFC (Peak-to-Trough)</w:t>
      </w:r>
    </w:p>
    <w:tbl>
      <w:tblPr>
        <w:tblStyle w:val="Table"/>
        <w:tblW w:w="0" w:type="auto"/>
        <w:jc w:val="center"/>
        <w:tblLook w:val="0020" w:firstRow="1" w:lastRow="0" w:firstColumn="0" w:lastColumn="0" w:noHBand="0" w:noVBand="0"/>
      </w:tblPr>
      <w:tblGrid>
        <w:gridCol w:w="2622"/>
        <w:gridCol w:w="2038"/>
        <w:gridCol w:w="1944"/>
        <w:gridCol w:w="1766"/>
      </w:tblGrid>
      <w:tr w:rsidR="0041215D" w:rsidRPr="0041215D" w14:paraId="43A0EBCA" w14:textId="77777777" w:rsidTr="0041215D">
        <w:trPr>
          <w:cnfStyle w:val="100000000000" w:firstRow="1" w:lastRow="0" w:firstColumn="0" w:lastColumn="0" w:oddVBand="0" w:evenVBand="0" w:oddHBand="0" w:evenHBand="0" w:firstRowFirstColumn="0" w:firstRowLastColumn="0" w:lastRowFirstColumn="0" w:lastRowLastColumn="0"/>
          <w:tblHeader/>
          <w:jc w:val="center"/>
        </w:trPr>
        <w:tc>
          <w:tcPr>
            <w:tcW w:w="0" w:type="auto"/>
          </w:tcPr>
          <w:p w14:paraId="3186FB86"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lastRenderedPageBreak/>
              <w:t>Asset Class / Index</w:t>
            </w:r>
          </w:p>
        </w:tc>
        <w:tc>
          <w:tcPr>
            <w:tcW w:w="0" w:type="auto"/>
          </w:tcPr>
          <w:p w14:paraId="226C0791"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Pre-Crisis Peak (Date)</w:t>
            </w:r>
          </w:p>
        </w:tc>
        <w:tc>
          <w:tcPr>
            <w:tcW w:w="0" w:type="auto"/>
          </w:tcPr>
          <w:p w14:paraId="256B0EE2"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Crisis Trough (Date)</w:t>
            </w:r>
          </w:p>
        </w:tc>
        <w:tc>
          <w:tcPr>
            <w:tcW w:w="0" w:type="auto"/>
          </w:tcPr>
          <w:p w14:paraId="1726B957"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Percentage Decline</w:t>
            </w:r>
          </w:p>
        </w:tc>
      </w:tr>
      <w:tr w:rsidR="0041215D" w:rsidRPr="0041215D" w14:paraId="48DB8A4E" w14:textId="77777777" w:rsidTr="0041215D">
        <w:trPr>
          <w:jc w:val="center"/>
        </w:trPr>
        <w:tc>
          <w:tcPr>
            <w:tcW w:w="0" w:type="auto"/>
          </w:tcPr>
          <w:p w14:paraId="0F826C2B"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S&amp;P 500 Index</w:t>
            </w:r>
          </w:p>
        </w:tc>
        <w:tc>
          <w:tcPr>
            <w:tcW w:w="0" w:type="auto"/>
          </w:tcPr>
          <w:p w14:paraId="197C618D"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1,565.15 (Oct 9, 2007)</w:t>
            </w:r>
          </w:p>
        </w:tc>
        <w:tc>
          <w:tcPr>
            <w:tcW w:w="0" w:type="auto"/>
          </w:tcPr>
          <w:p w14:paraId="53B70CFA"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676.53 (Mar 9, 2009)</w:t>
            </w:r>
          </w:p>
        </w:tc>
        <w:tc>
          <w:tcPr>
            <w:tcW w:w="0" w:type="auto"/>
          </w:tcPr>
          <w:p w14:paraId="3079B9D9"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-56.8%</w:t>
            </w:r>
          </w:p>
        </w:tc>
      </w:tr>
      <w:tr w:rsidR="0041215D" w:rsidRPr="0041215D" w14:paraId="420F5015" w14:textId="77777777" w:rsidTr="0041215D">
        <w:trPr>
          <w:jc w:val="center"/>
        </w:trPr>
        <w:tc>
          <w:tcPr>
            <w:tcW w:w="0" w:type="auto"/>
          </w:tcPr>
          <w:p w14:paraId="2955AF53"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VIX Index (Avg. Level)</w:t>
            </w:r>
          </w:p>
        </w:tc>
        <w:tc>
          <w:tcPr>
            <w:tcW w:w="0" w:type="auto"/>
          </w:tcPr>
          <w:p w14:paraId="5733C696"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~10-15 (Pre-2007)</w:t>
            </w:r>
          </w:p>
        </w:tc>
        <w:tc>
          <w:tcPr>
            <w:tcW w:w="0" w:type="auto"/>
          </w:tcPr>
          <w:p w14:paraId="7856549C"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80.06 (Nov 20, 2008)</w:t>
            </w:r>
          </w:p>
        </w:tc>
        <w:tc>
          <w:tcPr>
            <w:tcW w:w="0" w:type="auto"/>
          </w:tcPr>
          <w:p w14:paraId="22F8E8FF"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+~600%</w:t>
            </w:r>
          </w:p>
        </w:tc>
      </w:tr>
      <w:tr w:rsidR="0041215D" w:rsidRPr="0041215D" w14:paraId="3AB9306E" w14:textId="77777777" w:rsidTr="0041215D">
        <w:trPr>
          <w:jc w:val="center"/>
        </w:trPr>
        <w:tc>
          <w:tcPr>
            <w:tcW w:w="0" w:type="auto"/>
          </w:tcPr>
          <w:p w14:paraId="6080207A"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BBB-rated Corp Bond Spread</w:t>
            </w:r>
          </w:p>
        </w:tc>
        <w:tc>
          <w:tcPr>
            <w:tcW w:w="0" w:type="auto"/>
          </w:tcPr>
          <w:p w14:paraId="2E6AC2E9"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~150 bps (Mid-2007)</w:t>
            </w:r>
          </w:p>
        </w:tc>
        <w:tc>
          <w:tcPr>
            <w:tcW w:w="0" w:type="auto"/>
          </w:tcPr>
          <w:p w14:paraId="50C42F46"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~700 bps (Late 2008)</w:t>
            </w:r>
          </w:p>
        </w:tc>
        <w:tc>
          <w:tcPr>
            <w:tcW w:w="0" w:type="auto"/>
          </w:tcPr>
          <w:p w14:paraId="115666FA"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+~550 bps</w:t>
            </w:r>
          </w:p>
        </w:tc>
      </w:tr>
      <w:tr w:rsidR="0041215D" w:rsidRPr="0041215D" w14:paraId="1DE65210" w14:textId="77777777" w:rsidTr="0041215D">
        <w:trPr>
          <w:jc w:val="center"/>
        </w:trPr>
        <w:tc>
          <w:tcPr>
            <w:tcW w:w="0" w:type="auto"/>
          </w:tcPr>
          <w:p w14:paraId="6D83BADC"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US House Price Index</w:t>
            </w:r>
          </w:p>
        </w:tc>
        <w:tc>
          <w:tcPr>
            <w:tcW w:w="0" w:type="auto"/>
          </w:tcPr>
          <w:p w14:paraId="71A46E06"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189.93 (Q1 2007)</w:t>
            </w:r>
          </w:p>
        </w:tc>
        <w:tc>
          <w:tcPr>
            <w:tcW w:w="0" w:type="auto"/>
          </w:tcPr>
          <w:p w14:paraId="4C1DCFCB"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134.01 (Q1 2012)</w:t>
            </w:r>
          </w:p>
        </w:tc>
        <w:tc>
          <w:tcPr>
            <w:tcW w:w="0" w:type="auto"/>
          </w:tcPr>
          <w:p w14:paraId="2EB98314"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-29.4%</w:t>
            </w:r>
          </w:p>
        </w:tc>
      </w:tr>
    </w:tbl>
    <w:p w14:paraId="27E6E158" w14:textId="77777777" w:rsidR="0041215D" w:rsidRDefault="0041215D" w:rsidP="0041215D">
      <w:pPr>
        <w:pStyle w:val="BodyText"/>
        <w:jc w:val="both"/>
        <w:rPr>
          <w:rFonts w:eastAsiaTheme="minorHAnsi"/>
          <w:color w:val="1F497D"/>
          <w:sz w:val="20"/>
          <w:szCs w:val="20"/>
          <w:lang w:val="en-IN"/>
        </w:rPr>
      </w:pPr>
      <w:r w:rsidRPr="0041215D">
        <w:rPr>
          <w:rFonts w:eastAsiaTheme="minorHAnsi"/>
          <w:color w:val="1F497D"/>
          <w:sz w:val="20"/>
          <w:szCs w:val="20"/>
          <w:lang w:val="en-IN"/>
        </w:rPr>
        <w:t>Source: Federal Reserve Economic Data (FRED), Yahoo Finance.</w:t>
      </w:r>
    </w:p>
    <w:p w14:paraId="26DBE85F" w14:textId="77777777" w:rsidR="0041215D" w:rsidRPr="0041215D" w:rsidRDefault="0041215D" w:rsidP="0041215D">
      <w:pPr>
        <w:pStyle w:val="BodyText"/>
        <w:jc w:val="both"/>
        <w:rPr>
          <w:rFonts w:eastAsiaTheme="minorHAnsi"/>
          <w:color w:val="1F497D"/>
          <w:sz w:val="20"/>
          <w:szCs w:val="20"/>
          <w:lang w:val="en-IN"/>
        </w:rPr>
      </w:pPr>
    </w:p>
    <w:p w14:paraId="5F5FA2EA" w14:textId="77777777" w:rsidR="0041215D" w:rsidRPr="0041215D" w:rsidRDefault="0041215D" w:rsidP="0041215D">
      <w:pPr>
        <w:pStyle w:val="BodyText"/>
        <w:jc w:val="center"/>
        <w:rPr>
          <w:rFonts w:eastAsiaTheme="minorHAnsi"/>
          <w:color w:val="1F497D"/>
          <w:sz w:val="20"/>
          <w:szCs w:val="20"/>
          <w:lang w:val="en-IN"/>
        </w:rPr>
      </w:pPr>
      <w:r w:rsidRPr="0041215D">
        <w:rPr>
          <w:rFonts w:eastAsiaTheme="minorHAnsi"/>
          <w:color w:val="1F497D"/>
          <w:sz w:val="20"/>
          <w:szCs w:val="20"/>
          <w:lang w:val="en-IN"/>
        </w:rPr>
        <w:drawing>
          <wp:inline distT="0" distB="0" distL="0" distR="0" wp14:anchorId="022558BE" wp14:editId="6DCA15E3">
            <wp:extent cx="5731510" cy="2965526"/>
            <wp:effectExtent l="0" t="0" r="2540" b="6350"/>
            <wp:docPr id="1926917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917708" name="Picture 1926917708"/>
                    <pic:cNvPicPr/>
                  </pic:nvPicPr>
                  <pic:blipFill rotWithShape="1">
                    <a:blip r:embed="rId17" cstate="print">
                      <a:extLst>
                        <a:ext uri="{BEBA8EAE-BF5A-486C-A8C5-ECC9F3942E4B}">
                          <a14:imgProps xmlns:a14="http://schemas.microsoft.com/office/drawing/2010/main">
                            <a14:imgLayer r:embed="rId18">
                              <a14:imgEffect>
                                <a14:saturation sat="400000"/>
                              </a14:imgEffect>
                            </a14:imgLayer>
                          </a14:imgProps>
                        </a:ext>
                        <a:ext uri="{28A0092B-C50C-407E-A947-70E740481C1C}">
                          <a14:useLocalDpi xmlns:a14="http://schemas.microsoft.com/office/drawing/2010/main" val="0"/>
                        </a:ext>
                      </a:extLst>
                    </a:blip>
                    <a:srcRect t="6859"/>
                    <a:stretch>
                      <a:fillRect/>
                    </a:stretch>
                  </pic:blipFill>
                  <pic:spPr bwMode="auto">
                    <a:xfrm>
                      <a:off x="0" y="0"/>
                      <a:ext cx="5731510" cy="2965526"/>
                    </a:xfrm>
                    <a:prstGeom prst="rect">
                      <a:avLst/>
                    </a:prstGeom>
                    <a:ln>
                      <a:noFill/>
                    </a:ln>
                    <a:extLst>
                      <a:ext uri="{53640926-AAD7-44D8-BBD7-CCE9431645EC}">
                        <a14:shadowObscured xmlns:a14="http://schemas.microsoft.com/office/drawing/2010/main"/>
                      </a:ext>
                    </a:extLst>
                  </pic:spPr>
                </pic:pic>
              </a:graphicData>
            </a:graphic>
          </wp:inline>
        </w:drawing>
      </w:r>
    </w:p>
    <w:p w14:paraId="72F9E2D1" w14:textId="77777777" w:rsidR="0041215D" w:rsidRPr="0041215D" w:rsidRDefault="0041215D" w:rsidP="0041215D">
      <w:pPr>
        <w:pStyle w:val="BodyText"/>
        <w:jc w:val="center"/>
        <w:rPr>
          <w:rFonts w:eastAsiaTheme="minorHAnsi"/>
          <w:b/>
          <w:bCs/>
          <w:color w:val="1F497D"/>
          <w:sz w:val="20"/>
          <w:szCs w:val="20"/>
          <w:lang w:val="en-IN"/>
        </w:rPr>
      </w:pPr>
      <w:r w:rsidRPr="0041215D">
        <w:rPr>
          <w:rFonts w:eastAsiaTheme="minorHAnsi"/>
          <w:b/>
          <w:bCs/>
          <w:color w:val="1F497D"/>
          <w:sz w:val="20"/>
          <w:szCs w:val="20"/>
          <w:lang w:val="en-IN"/>
        </w:rPr>
        <w:t>Figure 1 — "Peak-to-Trough Changes during 2008 GFC." Caption: "Comparison of peak-to-trough percentage changes across key asset classes and risk indicators during the 2008 Global Financial Crisis."</w:t>
      </w:r>
    </w:p>
    <w:p w14:paraId="6C1E2BC6" w14:textId="77777777" w:rsidR="0041215D" w:rsidRDefault="0041215D" w:rsidP="0041215D">
      <w:pPr>
        <w:pStyle w:val="BodyText"/>
        <w:jc w:val="both"/>
        <w:rPr>
          <w:rFonts w:eastAsiaTheme="minorHAnsi"/>
          <w:color w:val="1F497D"/>
          <w:sz w:val="20"/>
          <w:szCs w:val="20"/>
          <w:lang w:val="en-IN"/>
        </w:rPr>
      </w:pPr>
    </w:p>
    <w:p w14:paraId="777F56C5" w14:textId="5D6E50CA" w:rsidR="0041215D" w:rsidRPr="0041215D" w:rsidRDefault="0041215D" w:rsidP="0041215D">
      <w:pPr>
        <w:pStyle w:val="BodyText"/>
        <w:jc w:val="both"/>
        <w:rPr>
          <w:rFonts w:eastAsiaTheme="minorHAnsi"/>
          <w:color w:val="1F497D"/>
          <w:sz w:val="20"/>
          <w:szCs w:val="20"/>
          <w:lang w:val="en-IN"/>
        </w:rPr>
      </w:pPr>
      <w:r w:rsidRPr="0041215D">
        <w:rPr>
          <w:rFonts w:eastAsiaTheme="minorHAnsi"/>
          <w:color w:val="1F497D"/>
          <w:sz w:val="20"/>
          <w:szCs w:val="20"/>
          <w:lang w:val="en-IN"/>
        </w:rPr>
        <w:t>The synchronized collapse across diverse asset classes (stocks, bonds, real estate) is indicative of a system-wide herd effect and a flight to safety, overwhelming fundamental valuations.</w:t>
      </w:r>
    </w:p>
    <w:p w14:paraId="0A44AEA9" w14:textId="77777777" w:rsidR="0041215D" w:rsidRDefault="0041215D" w:rsidP="0041215D">
      <w:pPr>
        <w:pStyle w:val="BodyText"/>
        <w:jc w:val="both"/>
        <w:rPr>
          <w:rFonts w:eastAsiaTheme="minorHAnsi"/>
          <w:color w:val="1F497D"/>
          <w:sz w:val="20"/>
          <w:szCs w:val="20"/>
          <w:lang w:val="en-IN"/>
        </w:rPr>
      </w:pPr>
    </w:p>
    <w:p w14:paraId="6B30C4AA" w14:textId="5C823554" w:rsidR="0041215D" w:rsidRPr="0041215D" w:rsidRDefault="0041215D" w:rsidP="0041215D">
      <w:pPr>
        <w:pStyle w:val="BodyText"/>
        <w:jc w:val="both"/>
        <w:rPr>
          <w:rFonts w:eastAsiaTheme="minorHAnsi"/>
          <w:b/>
          <w:bCs/>
          <w:color w:val="1F497D"/>
          <w:sz w:val="20"/>
          <w:szCs w:val="20"/>
          <w:lang w:val="en-IN"/>
        </w:rPr>
      </w:pPr>
      <w:r w:rsidRPr="0041215D">
        <w:rPr>
          <w:rFonts w:eastAsiaTheme="minorHAnsi"/>
          <w:b/>
          <w:bCs/>
          <w:color w:val="1F497D"/>
          <w:sz w:val="20"/>
          <w:szCs w:val="20"/>
          <w:lang w:val="en-IN"/>
        </w:rPr>
        <w:t>4.2 Case Study 2: The 2020 COVID-19 Market Crash</w:t>
      </w:r>
    </w:p>
    <w:p w14:paraId="48F5ACC3" w14:textId="77777777" w:rsidR="0041215D" w:rsidRPr="0041215D" w:rsidRDefault="0041215D" w:rsidP="0041215D">
      <w:pPr>
        <w:pStyle w:val="BodyText"/>
        <w:jc w:val="both"/>
        <w:rPr>
          <w:rFonts w:eastAsiaTheme="minorHAnsi"/>
          <w:color w:val="1F497D"/>
          <w:sz w:val="20"/>
          <w:szCs w:val="20"/>
          <w:lang w:val="en-IN"/>
        </w:rPr>
      </w:pPr>
      <w:r w:rsidRPr="0041215D">
        <w:rPr>
          <w:rFonts w:eastAsiaTheme="minorHAnsi"/>
          <w:color w:val="1F497D"/>
          <w:sz w:val="20"/>
          <w:szCs w:val="20"/>
          <w:lang w:val="en-IN"/>
        </w:rPr>
        <w:t>The COVID-19 crash was an exogenous shock that acted as a perfect laboratory for studying modern behavioral dynamics due to its speed and the role of technology.</w:t>
      </w:r>
    </w:p>
    <w:p w14:paraId="13F18A30" w14:textId="77777777" w:rsidR="0041215D" w:rsidRPr="0041215D" w:rsidRDefault="0041215D" w:rsidP="0041215D">
      <w:pPr>
        <w:numPr>
          <w:ilvl w:val="0"/>
          <w:numId w:val="198"/>
        </w:num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 xml:space="preserve">Extrapolation and Overreaction: The rapid onset of the pandemic led to extreme extrapolation of negative outcomes. Investors, using the representativeness heuristic, quickly updated their priors to a worst-case scenario. The overconfidence in these gloomy forecasts, combined with algorithmic trading, led to a record-fast drop into a bear market. The price dynamics can be partially explained by the synthesis model from Section 3.4, where the </w:t>
      </w:r>
      <m:oMath>
        <m:r>
          <w:rPr>
            <w:rFonts w:ascii="Cambria Math" w:hAnsi="Cambria Math" w:cs="Times New Roman"/>
            <w:color w:val="1F497D"/>
            <w:sz w:val="20"/>
            <w:szCs w:val="20"/>
          </w:rPr>
          <m:t>SENTIMEN</m:t>
        </m:r>
        <m:sSub>
          <m:sSubPr>
            <m:ctrlPr>
              <w:rPr>
                <w:rFonts w:ascii="Cambria Math" w:hAnsi="Cambria Math" w:cs="Times New Roman"/>
                <w:color w:val="1F497D"/>
                <w:sz w:val="20"/>
                <w:szCs w:val="20"/>
              </w:rPr>
            </m:ctrlPr>
          </m:sSubPr>
          <m:e>
            <m:r>
              <w:rPr>
                <w:rFonts w:ascii="Cambria Math" w:hAnsi="Cambria Math" w:cs="Times New Roman"/>
                <w:color w:val="1F497D"/>
                <w:sz w:val="20"/>
                <w:szCs w:val="20"/>
              </w:rPr>
              <m:t>T</m:t>
            </m:r>
          </m:e>
          <m:sub>
            <m:r>
              <w:rPr>
                <w:rFonts w:ascii="Cambria Math" w:hAnsi="Cambria Math" w:cs="Times New Roman"/>
                <w:color w:val="1F497D"/>
                <w:sz w:val="20"/>
                <w:szCs w:val="20"/>
              </w:rPr>
              <m:t>t</m:t>
            </m:r>
          </m:sub>
        </m:sSub>
      </m:oMath>
      <w:r w:rsidRPr="0041215D">
        <w:rPr>
          <w:rFonts w:ascii="Times New Roman" w:hAnsi="Times New Roman" w:cs="Times New Roman"/>
          <w:color w:val="1F497D"/>
          <w:sz w:val="20"/>
          <w:szCs w:val="20"/>
        </w:rPr>
        <w:t xml:space="preserve"> term became massively negative.</w:t>
      </w:r>
    </w:p>
    <w:p w14:paraId="344F02A5" w14:textId="77777777" w:rsidR="0041215D" w:rsidRPr="0041215D" w:rsidRDefault="0041215D" w:rsidP="0041215D">
      <w:pPr>
        <w:numPr>
          <w:ilvl w:val="0"/>
          <w:numId w:val="198"/>
        </w:num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Digital Herding and Attention-Driven Volatility: The role of social media and digital trading platforms, as highlighted by [1] and [14], was profound. The following table analyzes trading activity and volatility metrics during this period, supporting the herd behavior model.</w:t>
      </w:r>
    </w:p>
    <w:p w14:paraId="5625380D" w14:textId="77777777" w:rsidR="0041215D" w:rsidRPr="0041215D" w:rsidRDefault="0041215D" w:rsidP="0041215D">
      <w:pPr>
        <w:pStyle w:val="FirstParagraph"/>
        <w:spacing w:after="0"/>
        <w:jc w:val="center"/>
        <w:rPr>
          <w:rFonts w:cs="Times New Roman"/>
          <w:b/>
          <w:bCs/>
          <w:color w:val="1F497D"/>
          <w:sz w:val="20"/>
          <w:szCs w:val="20"/>
          <w:lang w:val="en-IN"/>
        </w:rPr>
      </w:pPr>
      <w:r w:rsidRPr="0041215D">
        <w:rPr>
          <w:rFonts w:cs="Times New Roman"/>
          <w:b/>
          <w:bCs/>
          <w:color w:val="1F497D"/>
          <w:sz w:val="20"/>
          <w:szCs w:val="20"/>
          <w:lang w:val="en-IN"/>
        </w:rPr>
        <w:t>Table 2: Retail Trading and Volatility During the COVID-19 Crash (Q1 2020)</w:t>
      </w:r>
    </w:p>
    <w:tbl>
      <w:tblPr>
        <w:tblStyle w:val="Table"/>
        <w:tblW w:w="0" w:type="auto"/>
        <w:jc w:val="center"/>
        <w:tblLook w:val="0020" w:firstRow="1" w:lastRow="0" w:firstColumn="0" w:lastColumn="0" w:noHBand="0" w:noVBand="0"/>
      </w:tblPr>
      <w:tblGrid>
        <w:gridCol w:w="3556"/>
        <w:gridCol w:w="2298"/>
        <w:gridCol w:w="2770"/>
        <w:gridCol w:w="1038"/>
      </w:tblGrid>
      <w:tr w:rsidR="0041215D" w:rsidRPr="0041215D" w14:paraId="13627630" w14:textId="77777777" w:rsidTr="0041215D">
        <w:trPr>
          <w:cnfStyle w:val="100000000000" w:firstRow="1" w:lastRow="0" w:firstColumn="0" w:lastColumn="0" w:oddVBand="0" w:evenVBand="0" w:oddHBand="0" w:evenHBand="0" w:firstRowFirstColumn="0" w:firstRowLastColumn="0" w:lastRowFirstColumn="0" w:lastRowLastColumn="0"/>
          <w:tblHeader/>
          <w:jc w:val="center"/>
        </w:trPr>
        <w:tc>
          <w:tcPr>
            <w:tcW w:w="0" w:type="auto"/>
          </w:tcPr>
          <w:p w14:paraId="6CE428D5"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Metric</w:t>
            </w:r>
          </w:p>
        </w:tc>
        <w:tc>
          <w:tcPr>
            <w:tcW w:w="0" w:type="auto"/>
          </w:tcPr>
          <w:p w14:paraId="07FF529E"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Pre-Crash (Q4 2019 Avg.)</w:t>
            </w:r>
          </w:p>
        </w:tc>
        <w:tc>
          <w:tcPr>
            <w:tcW w:w="0" w:type="auto"/>
          </w:tcPr>
          <w:p w14:paraId="691125C7"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Crash Period (Q1 2020 Avg.)</w:t>
            </w:r>
          </w:p>
        </w:tc>
        <w:tc>
          <w:tcPr>
            <w:tcW w:w="0" w:type="auto"/>
          </w:tcPr>
          <w:p w14:paraId="51E32DD7"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 Change</w:t>
            </w:r>
          </w:p>
        </w:tc>
      </w:tr>
      <w:tr w:rsidR="0041215D" w:rsidRPr="0041215D" w14:paraId="2469E303" w14:textId="77777777" w:rsidTr="0041215D">
        <w:trPr>
          <w:jc w:val="center"/>
        </w:trPr>
        <w:tc>
          <w:tcPr>
            <w:tcW w:w="0" w:type="auto"/>
          </w:tcPr>
          <w:p w14:paraId="435CC430"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S&amp;P 500 Realized Volatility (Annualized)</w:t>
            </w:r>
          </w:p>
        </w:tc>
        <w:tc>
          <w:tcPr>
            <w:tcW w:w="0" w:type="auto"/>
          </w:tcPr>
          <w:p w14:paraId="58DF3A7B"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~12%</w:t>
            </w:r>
          </w:p>
        </w:tc>
        <w:tc>
          <w:tcPr>
            <w:tcW w:w="0" w:type="auto"/>
          </w:tcPr>
          <w:p w14:paraId="06D360BF"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~80%</w:t>
            </w:r>
          </w:p>
        </w:tc>
        <w:tc>
          <w:tcPr>
            <w:tcW w:w="0" w:type="auto"/>
          </w:tcPr>
          <w:p w14:paraId="76332D9D"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+567%</w:t>
            </w:r>
          </w:p>
        </w:tc>
      </w:tr>
      <w:tr w:rsidR="0041215D" w:rsidRPr="0041215D" w14:paraId="314B0504" w14:textId="77777777" w:rsidTr="0041215D">
        <w:trPr>
          <w:jc w:val="center"/>
        </w:trPr>
        <w:tc>
          <w:tcPr>
            <w:tcW w:w="0" w:type="auto"/>
          </w:tcPr>
          <w:p w14:paraId="0D36B10D"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Robinhood (Retail Broker) User Growth</w:t>
            </w:r>
          </w:p>
        </w:tc>
        <w:tc>
          <w:tcPr>
            <w:tcW w:w="0" w:type="auto"/>
          </w:tcPr>
          <w:p w14:paraId="0632F3BA"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Steady</w:t>
            </w:r>
          </w:p>
        </w:tc>
        <w:tc>
          <w:tcPr>
            <w:tcW w:w="0" w:type="auto"/>
          </w:tcPr>
          <w:p w14:paraId="6BBCDC4B"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&gt;3 Million new funded accounts</w:t>
            </w:r>
          </w:p>
        </w:tc>
        <w:tc>
          <w:tcPr>
            <w:tcW w:w="0" w:type="auto"/>
          </w:tcPr>
          <w:p w14:paraId="475C0C27"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N/A</w:t>
            </w:r>
          </w:p>
        </w:tc>
      </w:tr>
      <w:tr w:rsidR="0041215D" w:rsidRPr="0041215D" w14:paraId="358E0816" w14:textId="77777777" w:rsidTr="0041215D">
        <w:trPr>
          <w:jc w:val="center"/>
        </w:trPr>
        <w:tc>
          <w:tcPr>
            <w:tcW w:w="0" w:type="auto"/>
          </w:tcPr>
          <w:p w14:paraId="260C43EB"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Retail Trade Volume (as % of total)</w:t>
            </w:r>
          </w:p>
        </w:tc>
        <w:tc>
          <w:tcPr>
            <w:tcW w:w="0" w:type="auto"/>
          </w:tcPr>
          <w:p w14:paraId="3F966391"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~15%</w:t>
            </w:r>
          </w:p>
        </w:tc>
        <w:tc>
          <w:tcPr>
            <w:tcW w:w="0" w:type="auto"/>
          </w:tcPr>
          <w:p w14:paraId="07767950"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~25% at peak</w:t>
            </w:r>
          </w:p>
        </w:tc>
        <w:tc>
          <w:tcPr>
            <w:tcW w:w="0" w:type="auto"/>
          </w:tcPr>
          <w:p w14:paraId="6718980D"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+66%</w:t>
            </w:r>
          </w:p>
        </w:tc>
      </w:tr>
      <w:tr w:rsidR="0041215D" w:rsidRPr="0041215D" w14:paraId="31D63712" w14:textId="77777777" w:rsidTr="0041215D">
        <w:trPr>
          <w:jc w:val="center"/>
        </w:trPr>
        <w:tc>
          <w:tcPr>
            <w:tcW w:w="0" w:type="auto"/>
          </w:tcPr>
          <w:p w14:paraId="24D8F3E8"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CBOE Put/Call Ratio (Volume)</w:t>
            </w:r>
          </w:p>
        </w:tc>
        <w:tc>
          <w:tcPr>
            <w:tcW w:w="0" w:type="auto"/>
          </w:tcPr>
          <w:p w14:paraId="3211E2CC"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~0.65</w:t>
            </w:r>
          </w:p>
        </w:tc>
        <w:tc>
          <w:tcPr>
            <w:tcW w:w="0" w:type="auto"/>
          </w:tcPr>
          <w:p w14:paraId="73368BF1"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~1.2 (peaked near 1.5)</w:t>
            </w:r>
          </w:p>
        </w:tc>
        <w:tc>
          <w:tcPr>
            <w:tcW w:w="0" w:type="auto"/>
          </w:tcPr>
          <w:p w14:paraId="0EA3829B"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+85%</w:t>
            </w:r>
          </w:p>
        </w:tc>
      </w:tr>
    </w:tbl>
    <w:p w14:paraId="020B8150" w14:textId="77777777" w:rsidR="0041215D" w:rsidRPr="0041215D" w:rsidRDefault="0041215D" w:rsidP="0041215D">
      <w:pPr>
        <w:pStyle w:val="BodyText"/>
        <w:jc w:val="both"/>
        <w:rPr>
          <w:rFonts w:eastAsiaTheme="minorHAnsi"/>
          <w:color w:val="1F497D"/>
          <w:sz w:val="20"/>
          <w:szCs w:val="20"/>
          <w:lang w:val="en-IN"/>
        </w:rPr>
      </w:pPr>
      <w:r w:rsidRPr="0041215D">
        <w:rPr>
          <w:rFonts w:eastAsiaTheme="minorHAnsi"/>
          <w:color w:val="1F497D"/>
          <w:sz w:val="20"/>
          <w:szCs w:val="20"/>
          <w:lang w:val="en-IN"/>
        </w:rPr>
        <w:t>Sources: [3], [15], public broker filings, CBOE.</w:t>
      </w:r>
    </w:p>
    <w:p w14:paraId="34B21843" w14:textId="77777777" w:rsidR="0041215D" w:rsidRDefault="0041215D" w:rsidP="0041215D">
      <w:pPr>
        <w:pStyle w:val="BodyText"/>
        <w:jc w:val="both"/>
        <w:rPr>
          <w:rFonts w:eastAsiaTheme="minorHAnsi"/>
          <w:color w:val="1F497D"/>
          <w:sz w:val="20"/>
          <w:szCs w:val="20"/>
          <w:lang w:val="en-IN"/>
        </w:rPr>
      </w:pPr>
    </w:p>
    <w:p w14:paraId="0E6C9064" w14:textId="07ED4664" w:rsidR="0041215D" w:rsidRPr="0041215D" w:rsidRDefault="0041215D" w:rsidP="0041215D">
      <w:pPr>
        <w:pStyle w:val="BodyText"/>
        <w:jc w:val="both"/>
        <w:rPr>
          <w:rFonts w:eastAsiaTheme="minorHAnsi"/>
          <w:color w:val="1F497D"/>
          <w:sz w:val="20"/>
          <w:szCs w:val="20"/>
          <w:lang w:val="en-IN"/>
        </w:rPr>
      </w:pPr>
      <w:r w:rsidRPr="0041215D">
        <w:rPr>
          <w:rFonts w:eastAsiaTheme="minorHAnsi"/>
          <w:color w:val="1F497D"/>
          <w:sz w:val="20"/>
          <w:szCs w:val="20"/>
          <w:lang w:val="en-IN"/>
        </w:rPr>
        <w:t xml:space="preserve">The surge in retail trading volume and the high correlation of their order flows (e.g., piling into certain "meme" stocks or ETFs) is empirical evidence of digital herding. The put/call ratio indicates a massive, coordinated shift in sentiment towards panic and hedging, consistent with a surge in the </w:t>
      </w:r>
      <m:oMath>
        <m:sSub>
          <m:sSubPr>
            <m:ctrlPr>
              <w:rPr>
                <w:rFonts w:ascii="Cambria Math" w:eastAsiaTheme="minorHAnsi" w:hAnsi="Cambria Math"/>
                <w:color w:val="1F497D"/>
                <w:sz w:val="20"/>
                <w:szCs w:val="20"/>
                <w:lang w:val="en-IN"/>
              </w:rPr>
            </m:ctrlPr>
          </m:sSubPr>
          <m:e>
            <m:r>
              <m:rPr>
                <m:nor/>
              </m:rPr>
              <w:rPr>
                <w:rFonts w:eastAsiaTheme="minorHAnsi"/>
                <w:color w:val="1F497D"/>
                <w:sz w:val="20"/>
                <w:szCs w:val="20"/>
                <w:lang w:val="en-IN"/>
              </w:rPr>
              <m:t>FEAR</m:t>
            </m:r>
          </m:e>
          <m:sub>
            <m:r>
              <w:rPr>
                <w:rFonts w:ascii="Cambria Math" w:eastAsiaTheme="minorHAnsi" w:hAnsi="Cambria Math"/>
                <w:color w:val="1F497D"/>
                <w:sz w:val="20"/>
                <w:szCs w:val="20"/>
                <w:lang w:val="en-IN"/>
              </w:rPr>
              <m:t>t</m:t>
            </m:r>
          </m:sub>
        </m:sSub>
      </m:oMath>
      <w:r w:rsidRPr="0041215D">
        <w:rPr>
          <w:rFonts w:eastAsiaTheme="minorHAnsi"/>
          <w:color w:val="1F497D"/>
          <w:sz w:val="20"/>
          <w:szCs w:val="20"/>
          <w:lang w:val="en-IN"/>
        </w:rPr>
        <w:t xml:space="preserve"> component of our sentiment index.</w:t>
      </w:r>
    </w:p>
    <w:p w14:paraId="75EBF3E4" w14:textId="77777777" w:rsidR="0041215D" w:rsidRPr="0041215D" w:rsidRDefault="0041215D" w:rsidP="0041215D">
      <w:pPr>
        <w:pStyle w:val="BodyText"/>
        <w:jc w:val="center"/>
        <w:rPr>
          <w:rFonts w:eastAsiaTheme="minorHAnsi"/>
          <w:color w:val="1F497D"/>
          <w:sz w:val="20"/>
          <w:szCs w:val="20"/>
          <w:lang w:val="en-IN"/>
        </w:rPr>
      </w:pPr>
      <w:r w:rsidRPr="0041215D">
        <w:rPr>
          <w:rFonts w:eastAsiaTheme="minorHAnsi"/>
          <w:color w:val="1F497D"/>
          <w:sz w:val="20"/>
          <w:szCs w:val="20"/>
          <w:lang w:val="en-IN"/>
        </w:rPr>
        <w:lastRenderedPageBreak/>
        <w:drawing>
          <wp:inline distT="0" distB="0" distL="0" distR="0" wp14:anchorId="7CB68D64" wp14:editId="025B23B4">
            <wp:extent cx="5731510" cy="2633743"/>
            <wp:effectExtent l="0" t="0" r="2540" b="0"/>
            <wp:docPr id="11066232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623215" name="Picture 1106623215"/>
                    <pic:cNvPicPr/>
                  </pic:nvPicPr>
                  <pic:blipFill rotWithShape="1">
                    <a:blip r:embed="rId19" cstate="print">
                      <a:extLst>
                        <a:ext uri="{BEBA8EAE-BF5A-486C-A8C5-ECC9F3942E4B}">
                          <a14:imgProps xmlns:a14="http://schemas.microsoft.com/office/drawing/2010/main">
                            <a14:imgLayer r:embed="rId20">
                              <a14:imgEffect>
                                <a14:saturation sat="400000"/>
                              </a14:imgEffect>
                            </a14:imgLayer>
                          </a14:imgProps>
                        </a:ext>
                        <a:ext uri="{28A0092B-C50C-407E-A947-70E740481C1C}">
                          <a14:useLocalDpi xmlns:a14="http://schemas.microsoft.com/office/drawing/2010/main" val="0"/>
                        </a:ext>
                      </a:extLst>
                    </a:blip>
                    <a:srcRect t="8096"/>
                    <a:stretch>
                      <a:fillRect/>
                    </a:stretch>
                  </pic:blipFill>
                  <pic:spPr bwMode="auto">
                    <a:xfrm>
                      <a:off x="0" y="0"/>
                      <a:ext cx="5731510" cy="2633743"/>
                    </a:xfrm>
                    <a:prstGeom prst="rect">
                      <a:avLst/>
                    </a:prstGeom>
                    <a:ln>
                      <a:noFill/>
                    </a:ln>
                    <a:extLst>
                      <a:ext uri="{53640926-AAD7-44D8-BBD7-CCE9431645EC}">
                        <a14:shadowObscured xmlns:a14="http://schemas.microsoft.com/office/drawing/2010/main"/>
                      </a:ext>
                    </a:extLst>
                  </pic:spPr>
                </pic:pic>
              </a:graphicData>
            </a:graphic>
          </wp:inline>
        </w:drawing>
      </w:r>
    </w:p>
    <w:p w14:paraId="77F85F12" w14:textId="77777777" w:rsidR="0041215D" w:rsidRPr="0041215D" w:rsidRDefault="0041215D" w:rsidP="0041215D">
      <w:pPr>
        <w:pStyle w:val="BodyText"/>
        <w:jc w:val="both"/>
        <w:rPr>
          <w:rFonts w:eastAsiaTheme="minorHAnsi"/>
          <w:color w:val="1F497D"/>
          <w:sz w:val="20"/>
          <w:szCs w:val="20"/>
          <w:lang w:val="en-IN"/>
        </w:rPr>
      </w:pPr>
      <w:r w:rsidRPr="0041215D">
        <w:rPr>
          <w:rFonts w:eastAsiaTheme="minorHAnsi"/>
          <w:color w:val="1F497D"/>
          <w:sz w:val="20"/>
          <w:szCs w:val="20"/>
          <w:lang w:val="en-IN"/>
        </w:rPr>
        <w:t>Figure 2 — "Retail trading and volatility metrics (Q4 2019 vs Q1 2020)." Caption: "Selected retail-trading and volatility metrics before and during the COVID-19 crash (Q4 2019 vs Q1 2020).</w:t>
      </w:r>
    </w:p>
    <w:p w14:paraId="18066DB6" w14:textId="77777777" w:rsidR="0041215D" w:rsidRDefault="0041215D" w:rsidP="0041215D">
      <w:pPr>
        <w:pStyle w:val="Heading3"/>
        <w:spacing w:line="240" w:lineRule="auto"/>
        <w:jc w:val="both"/>
        <w:rPr>
          <w:rFonts w:ascii="Times New Roman" w:eastAsiaTheme="minorHAnsi" w:hAnsi="Times New Roman" w:cs="Times New Roman"/>
          <w:color w:val="1F497D"/>
          <w:sz w:val="20"/>
          <w:szCs w:val="20"/>
        </w:rPr>
      </w:pPr>
      <w:bookmarkStart w:id="2" w:name="X4e771c698880c6bf0e48d6b96434bd2c2508e58"/>
      <w:bookmarkEnd w:id="1"/>
    </w:p>
    <w:p w14:paraId="16997DA4" w14:textId="1975C5F0" w:rsidR="0041215D" w:rsidRPr="0041215D" w:rsidRDefault="0041215D" w:rsidP="0041215D">
      <w:pPr>
        <w:pStyle w:val="Heading3"/>
        <w:numPr>
          <w:ilvl w:val="0"/>
          <w:numId w:val="197"/>
        </w:numPr>
        <w:spacing w:line="240" w:lineRule="auto"/>
        <w:jc w:val="both"/>
        <w:rPr>
          <w:rFonts w:ascii="Times New Roman" w:eastAsiaTheme="minorHAnsi" w:hAnsi="Times New Roman" w:cs="Times New Roman"/>
          <w:b/>
          <w:bCs/>
          <w:color w:val="1F497D"/>
          <w:sz w:val="20"/>
          <w:szCs w:val="20"/>
        </w:rPr>
      </w:pPr>
      <w:r w:rsidRPr="0041215D">
        <w:rPr>
          <w:rFonts w:ascii="Times New Roman" w:eastAsiaTheme="minorHAnsi" w:hAnsi="Times New Roman" w:cs="Times New Roman"/>
          <w:b/>
          <w:bCs/>
          <w:color w:val="1F497D"/>
          <w:sz w:val="20"/>
          <w:szCs w:val="20"/>
        </w:rPr>
        <w:t>Data-Driven Analysis of Behavioral Indicators</w:t>
      </w:r>
    </w:p>
    <w:p w14:paraId="347D16A2" w14:textId="55FE4492" w:rsidR="0041215D" w:rsidRPr="0041215D" w:rsidRDefault="0041215D" w:rsidP="0041215D">
      <w:pPr>
        <w:pStyle w:val="Heading3"/>
        <w:spacing w:line="240" w:lineRule="auto"/>
        <w:jc w:val="both"/>
        <w:rPr>
          <w:rFonts w:ascii="Times New Roman" w:eastAsiaTheme="minorHAnsi" w:hAnsi="Times New Roman" w:cs="Times New Roman"/>
          <w:color w:val="1F497D"/>
          <w:sz w:val="20"/>
          <w:szCs w:val="20"/>
        </w:rPr>
      </w:pPr>
      <w:r w:rsidRPr="0041215D">
        <w:rPr>
          <w:rFonts w:ascii="Times New Roman" w:hAnsi="Times New Roman" w:cs="Times New Roman"/>
          <w:color w:val="1F497D"/>
          <w:sz w:val="20"/>
          <w:szCs w:val="20"/>
        </w:rPr>
        <w:t>This section expands the empirical analysis by presenting a multi-table examination of quantifiable behavioral indicators across different crises. The data is synthesized to test the propositions of the theoretical framework.</w:t>
      </w:r>
    </w:p>
    <w:p w14:paraId="1EF8E5F1" w14:textId="77777777" w:rsidR="0041215D" w:rsidRDefault="0041215D" w:rsidP="0041215D">
      <w:pPr>
        <w:pStyle w:val="BodyText"/>
        <w:jc w:val="both"/>
        <w:rPr>
          <w:rFonts w:eastAsiaTheme="minorHAnsi"/>
          <w:color w:val="1F497D"/>
          <w:sz w:val="20"/>
          <w:szCs w:val="20"/>
          <w:lang w:val="en-IN"/>
        </w:rPr>
      </w:pPr>
    </w:p>
    <w:p w14:paraId="3DDA261C" w14:textId="563734FE" w:rsidR="0041215D" w:rsidRPr="0041215D" w:rsidRDefault="0041215D" w:rsidP="0041215D">
      <w:pPr>
        <w:pStyle w:val="BodyText"/>
        <w:jc w:val="both"/>
        <w:rPr>
          <w:rFonts w:eastAsiaTheme="minorHAnsi"/>
          <w:b/>
          <w:bCs/>
          <w:color w:val="1F497D"/>
          <w:sz w:val="20"/>
          <w:szCs w:val="20"/>
          <w:lang w:val="en-IN"/>
        </w:rPr>
      </w:pPr>
      <w:r w:rsidRPr="0041215D">
        <w:rPr>
          <w:rFonts w:eastAsiaTheme="minorHAnsi"/>
          <w:b/>
          <w:bCs/>
          <w:color w:val="1F497D"/>
          <w:sz w:val="20"/>
          <w:szCs w:val="20"/>
          <w:lang w:val="en-IN"/>
        </w:rPr>
        <w:t>5.1 Measuring Loss Aversion and Herding via Trading Data</w:t>
      </w:r>
    </w:p>
    <w:p w14:paraId="74F4D12B" w14:textId="77777777" w:rsidR="0041215D" w:rsidRPr="0041215D" w:rsidRDefault="0041215D" w:rsidP="0041215D">
      <w:pPr>
        <w:pStyle w:val="BodyText"/>
        <w:jc w:val="both"/>
        <w:rPr>
          <w:rFonts w:eastAsiaTheme="minorHAnsi"/>
          <w:color w:val="1F497D"/>
          <w:sz w:val="20"/>
          <w:szCs w:val="20"/>
          <w:lang w:val="en-IN"/>
        </w:rPr>
      </w:pPr>
      <w:r w:rsidRPr="0041215D">
        <w:rPr>
          <w:rFonts w:eastAsiaTheme="minorHAnsi"/>
          <w:color w:val="1F497D"/>
          <w:sz w:val="20"/>
          <w:szCs w:val="20"/>
          <w:lang w:val="en-IN"/>
        </w:rPr>
        <w:t>We can proxy for the intensity of loss aversion and herding by analyzing the cross-sectional dynamics of returns and trading volume. The following table uses data from the 2008 GFC and the 2020 crash to calculate two key metrics:</w:t>
      </w:r>
    </w:p>
    <w:p w14:paraId="6F094605" w14:textId="77777777" w:rsidR="0041215D" w:rsidRPr="0041215D" w:rsidRDefault="0041215D" w:rsidP="0041215D">
      <w:pPr>
        <w:pStyle w:val="Compact"/>
        <w:numPr>
          <w:ilvl w:val="0"/>
          <w:numId w:val="199"/>
        </w:numPr>
        <w:spacing w:after="0"/>
        <w:jc w:val="both"/>
        <w:rPr>
          <w:rFonts w:cs="Times New Roman"/>
          <w:color w:val="1F497D"/>
          <w:sz w:val="20"/>
          <w:szCs w:val="20"/>
          <w:lang w:val="en-IN"/>
        </w:rPr>
      </w:pPr>
      <w:r w:rsidRPr="0041215D">
        <w:rPr>
          <w:rFonts w:cs="Times New Roman"/>
          <w:color w:val="1F497D"/>
          <w:sz w:val="20"/>
          <w:szCs w:val="20"/>
          <w:lang w:val="en-IN"/>
        </w:rPr>
        <w:t>Disposition Effect Ratio (DER): The ratio of the proportion of losing stocks sold to the proportion of winning stocks sold. A ratio &lt; 1 indicates the presence of the disposition effect (holding losers).</w:t>
      </w:r>
    </w:p>
    <w:p w14:paraId="51D02121" w14:textId="77777777" w:rsidR="0041215D" w:rsidRPr="0041215D" w:rsidRDefault="0041215D" w:rsidP="0041215D">
      <w:pPr>
        <w:pStyle w:val="Compact"/>
        <w:numPr>
          <w:ilvl w:val="0"/>
          <w:numId w:val="199"/>
        </w:numPr>
        <w:spacing w:after="0"/>
        <w:jc w:val="both"/>
        <w:rPr>
          <w:rFonts w:cs="Times New Roman"/>
          <w:color w:val="1F497D"/>
          <w:sz w:val="20"/>
          <w:szCs w:val="20"/>
          <w:lang w:val="en-IN"/>
        </w:rPr>
      </w:pPr>
      <w:r w:rsidRPr="0041215D">
        <w:rPr>
          <w:rFonts w:cs="Times New Roman"/>
          <w:color w:val="1F497D"/>
          <w:sz w:val="20"/>
          <w:szCs w:val="20"/>
          <w:lang w:val="en-IN"/>
        </w:rPr>
        <w:t>Herd Measure (HMI): Cross-Sectional Absolute Deviation (CSAD) of returns, as defined by Chang et al. (2000). Lower CSAD indicates higher return correlation and herding.</w:t>
      </w:r>
    </w:p>
    <w:p w14:paraId="3893DDCF" w14:textId="77777777" w:rsidR="0041215D" w:rsidRPr="0041215D" w:rsidRDefault="0041215D" w:rsidP="0041215D">
      <w:pPr>
        <w:pStyle w:val="FirstParagraph"/>
        <w:spacing w:after="0"/>
        <w:jc w:val="both"/>
        <w:rPr>
          <w:rFonts w:cs="Times New Roman"/>
          <w:color w:val="1F497D"/>
          <w:sz w:val="20"/>
          <w:szCs w:val="20"/>
          <w:lang w:val="en-IN"/>
        </w:rPr>
      </w:pPr>
      <m:oMathPara>
        <m:oMathParaPr>
          <m:jc m:val="center"/>
        </m:oMathParaPr>
        <m:oMath>
          <m:r>
            <w:rPr>
              <w:rFonts w:ascii="Cambria Math" w:hAnsi="Cambria Math" w:cs="Times New Roman"/>
              <w:color w:val="1F497D"/>
              <w:sz w:val="20"/>
              <w:szCs w:val="20"/>
              <w:lang w:val="en-IN"/>
            </w:rPr>
            <m:t>CSA</m:t>
          </m:r>
          <m:sSub>
            <m:sSubPr>
              <m:ctrlPr>
                <w:rPr>
                  <w:rFonts w:ascii="Cambria Math" w:hAnsi="Cambria Math" w:cs="Times New Roman"/>
                  <w:color w:val="1F497D"/>
                  <w:sz w:val="20"/>
                  <w:szCs w:val="20"/>
                  <w:lang w:val="en-IN"/>
                </w:rPr>
              </m:ctrlPr>
            </m:sSubPr>
            <m:e>
              <m:r>
                <w:rPr>
                  <w:rFonts w:ascii="Cambria Math" w:hAnsi="Cambria Math" w:cs="Times New Roman"/>
                  <w:color w:val="1F497D"/>
                  <w:sz w:val="20"/>
                  <w:szCs w:val="20"/>
                  <w:lang w:val="en-IN"/>
                </w:rPr>
                <m:t>D</m:t>
              </m:r>
            </m:e>
            <m:sub>
              <m:r>
                <w:rPr>
                  <w:rFonts w:ascii="Cambria Math" w:hAnsi="Cambria Math" w:cs="Times New Roman"/>
                  <w:color w:val="1F497D"/>
                  <w:sz w:val="20"/>
                  <w:szCs w:val="20"/>
                  <w:lang w:val="en-IN"/>
                </w:rPr>
                <m:t>t</m:t>
              </m:r>
            </m:sub>
          </m:sSub>
          <m:r>
            <m:rPr>
              <m:sty m:val="p"/>
            </m:rPr>
            <w:rPr>
              <w:rFonts w:ascii="Cambria Math" w:hAnsi="Cambria Math" w:cs="Times New Roman"/>
              <w:color w:val="1F497D"/>
              <w:sz w:val="20"/>
              <w:szCs w:val="20"/>
              <w:lang w:val="en-IN"/>
            </w:rPr>
            <m:t>=</m:t>
          </m:r>
          <m:f>
            <m:fPr>
              <m:ctrlPr>
                <w:rPr>
                  <w:rFonts w:ascii="Cambria Math" w:hAnsi="Cambria Math" w:cs="Times New Roman"/>
                  <w:color w:val="1F497D"/>
                  <w:sz w:val="20"/>
                  <w:szCs w:val="20"/>
                  <w:lang w:val="en-IN"/>
                </w:rPr>
              </m:ctrlPr>
            </m:fPr>
            <m:num>
              <m:r>
                <m:rPr>
                  <m:sty m:val="p"/>
                </m:rPr>
                <w:rPr>
                  <w:rFonts w:ascii="Cambria Math" w:hAnsi="Cambria Math" w:cs="Times New Roman"/>
                  <w:color w:val="1F497D"/>
                  <w:sz w:val="20"/>
                  <w:szCs w:val="20"/>
                  <w:lang w:val="en-IN"/>
                </w:rPr>
                <m:t>1</m:t>
              </m:r>
            </m:num>
            <m:den>
              <m:r>
                <w:rPr>
                  <w:rFonts w:ascii="Cambria Math" w:hAnsi="Cambria Math" w:cs="Times New Roman"/>
                  <w:color w:val="1F497D"/>
                  <w:sz w:val="20"/>
                  <w:szCs w:val="20"/>
                  <w:lang w:val="en-IN"/>
                </w:rPr>
                <m:t>N</m:t>
              </m:r>
            </m:den>
          </m:f>
          <m:nary>
            <m:naryPr>
              <m:chr m:val="∑"/>
              <m:limLoc m:val="undOvr"/>
              <m:ctrlPr>
                <w:rPr>
                  <w:rFonts w:ascii="Cambria Math" w:hAnsi="Cambria Math" w:cs="Times New Roman"/>
                  <w:color w:val="1F497D"/>
                  <w:sz w:val="20"/>
                  <w:szCs w:val="20"/>
                  <w:lang w:val="en-IN"/>
                </w:rPr>
              </m:ctrlPr>
            </m:naryPr>
            <m:sub>
              <m:r>
                <w:rPr>
                  <w:rFonts w:ascii="Cambria Math" w:hAnsi="Cambria Math" w:cs="Times New Roman"/>
                  <w:color w:val="1F497D"/>
                  <w:sz w:val="20"/>
                  <w:szCs w:val="20"/>
                  <w:lang w:val="en-IN"/>
                </w:rPr>
                <m:t>i</m:t>
              </m:r>
              <m:r>
                <m:rPr>
                  <m:sty m:val="p"/>
                </m:rPr>
                <w:rPr>
                  <w:rFonts w:ascii="Cambria Math" w:hAnsi="Cambria Math" w:cs="Times New Roman"/>
                  <w:color w:val="1F497D"/>
                  <w:sz w:val="20"/>
                  <w:szCs w:val="20"/>
                  <w:lang w:val="en-IN"/>
                </w:rPr>
                <m:t>=1</m:t>
              </m:r>
            </m:sub>
            <m:sup>
              <m:r>
                <w:rPr>
                  <w:rFonts w:ascii="Cambria Math" w:hAnsi="Cambria Math" w:cs="Times New Roman"/>
                  <w:color w:val="1F497D"/>
                  <w:sz w:val="20"/>
                  <w:szCs w:val="20"/>
                  <w:lang w:val="en-IN"/>
                </w:rPr>
                <m:t>N</m:t>
              </m:r>
            </m:sup>
            <m:e>
              <m:r>
                <m:rPr>
                  <m:sty m:val="p"/>
                </m:rPr>
                <w:rPr>
                  <w:rFonts w:ascii="Cambria Math" w:hAnsi="Cambria Math" w:cs="Times New Roman"/>
                  <w:color w:val="1F497D"/>
                  <w:sz w:val="20"/>
                  <w:szCs w:val="20"/>
                  <w:lang w:val="en-IN"/>
                </w:rPr>
                <m:t>|</m:t>
              </m:r>
            </m:e>
          </m:nary>
          <m:sSub>
            <m:sSubPr>
              <m:ctrlPr>
                <w:rPr>
                  <w:rFonts w:ascii="Cambria Math" w:hAnsi="Cambria Math" w:cs="Times New Roman"/>
                  <w:color w:val="1F497D"/>
                  <w:sz w:val="20"/>
                  <w:szCs w:val="20"/>
                  <w:lang w:val="en-IN"/>
                </w:rPr>
              </m:ctrlPr>
            </m:sSubPr>
            <m:e>
              <m:r>
                <w:rPr>
                  <w:rFonts w:ascii="Cambria Math" w:hAnsi="Cambria Math" w:cs="Times New Roman"/>
                  <w:color w:val="1F497D"/>
                  <w:sz w:val="20"/>
                  <w:szCs w:val="20"/>
                  <w:lang w:val="en-IN"/>
                </w:rPr>
                <m:t>R</m:t>
              </m:r>
            </m:e>
            <m:sub>
              <m:r>
                <w:rPr>
                  <w:rFonts w:ascii="Cambria Math" w:hAnsi="Cambria Math" w:cs="Times New Roman"/>
                  <w:color w:val="1F497D"/>
                  <w:sz w:val="20"/>
                  <w:szCs w:val="20"/>
                  <w:lang w:val="en-IN"/>
                </w:rPr>
                <m:t>i</m:t>
              </m:r>
              <m:r>
                <m:rPr>
                  <m:sty m:val="p"/>
                </m:rPr>
                <w:rPr>
                  <w:rFonts w:ascii="Cambria Math" w:hAnsi="Cambria Math" w:cs="Times New Roman"/>
                  <w:color w:val="1F497D"/>
                  <w:sz w:val="20"/>
                  <w:szCs w:val="20"/>
                  <w:lang w:val="en-IN"/>
                </w:rPr>
                <m:t>,</m:t>
              </m:r>
              <m:r>
                <w:rPr>
                  <w:rFonts w:ascii="Cambria Math" w:hAnsi="Cambria Math" w:cs="Times New Roman"/>
                  <w:color w:val="1F497D"/>
                  <w:sz w:val="20"/>
                  <w:szCs w:val="20"/>
                  <w:lang w:val="en-IN"/>
                </w:rPr>
                <m:t>t</m:t>
              </m:r>
            </m:sub>
          </m:sSub>
          <m:r>
            <m:rPr>
              <m:sty m:val="p"/>
            </m:rPr>
            <w:rPr>
              <w:rFonts w:ascii="Cambria Math" w:hAnsi="Cambria Math" w:cs="Times New Roman"/>
              <w:color w:val="1F497D"/>
              <w:sz w:val="20"/>
              <w:szCs w:val="20"/>
              <w:lang w:val="en-IN"/>
            </w:rPr>
            <m:t>-</m:t>
          </m:r>
          <m:sSub>
            <m:sSubPr>
              <m:ctrlPr>
                <w:rPr>
                  <w:rFonts w:ascii="Cambria Math" w:hAnsi="Cambria Math" w:cs="Times New Roman"/>
                  <w:color w:val="1F497D"/>
                  <w:sz w:val="20"/>
                  <w:szCs w:val="20"/>
                  <w:lang w:val="en-IN"/>
                </w:rPr>
              </m:ctrlPr>
            </m:sSubPr>
            <m:e>
              <m:r>
                <w:rPr>
                  <w:rFonts w:ascii="Cambria Math" w:hAnsi="Cambria Math" w:cs="Times New Roman"/>
                  <w:color w:val="1F497D"/>
                  <w:sz w:val="20"/>
                  <w:szCs w:val="20"/>
                  <w:lang w:val="en-IN"/>
                </w:rPr>
                <m:t>R</m:t>
              </m:r>
            </m:e>
            <m:sub>
              <m:r>
                <w:rPr>
                  <w:rFonts w:ascii="Cambria Math" w:hAnsi="Cambria Math" w:cs="Times New Roman"/>
                  <w:color w:val="1F497D"/>
                  <w:sz w:val="20"/>
                  <w:szCs w:val="20"/>
                  <w:lang w:val="en-IN"/>
                </w:rPr>
                <m:t>m</m:t>
              </m:r>
              <m:r>
                <m:rPr>
                  <m:sty m:val="p"/>
                </m:rPr>
                <w:rPr>
                  <w:rFonts w:ascii="Cambria Math" w:hAnsi="Cambria Math" w:cs="Times New Roman"/>
                  <w:color w:val="1F497D"/>
                  <w:sz w:val="20"/>
                  <w:szCs w:val="20"/>
                  <w:lang w:val="en-IN"/>
                </w:rPr>
                <m:t>,</m:t>
              </m:r>
              <m:r>
                <w:rPr>
                  <w:rFonts w:ascii="Cambria Math" w:hAnsi="Cambria Math" w:cs="Times New Roman"/>
                  <w:color w:val="1F497D"/>
                  <w:sz w:val="20"/>
                  <w:szCs w:val="20"/>
                  <w:lang w:val="en-IN"/>
                </w:rPr>
                <m:t>t</m:t>
              </m:r>
            </m:sub>
          </m:sSub>
          <m:r>
            <m:rPr>
              <m:sty m:val="p"/>
            </m:rPr>
            <w:rPr>
              <w:rFonts w:ascii="Cambria Math" w:hAnsi="Cambria Math" w:cs="Times New Roman"/>
              <w:color w:val="1F497D"/>
              <w:sz w:val="20"/>
              <w:szCs w:val="20"/>
              <w:lang w:val="en-IN"/>
            </w:rPr>
            <m:t>|</m:t>
          </m:r>
        </m:oMath>
      </m:oMathPara>
    </w:p>
    <w:p w14:paraId="1BB11A7B" w14:textId="77777777" w:rsidR="0041215D" w:rsidRPr="0041215D" w:rsidRDefault="0041215D" w:rsidP="0041215D">
      <w:pPr>
        <w:pStyle w:val="FirstParagraph"/>
        <w:spacing w:after="0"/>
        <w:jc w:val="both"/>
        <w:rPr>
          <w:rFonts w:cs="Times New Roman"/>
          <w:color w:val="1F497D"/>
          <w:sz w:val="20"/>
          <w:szCs w:val="20"/>
          <w:lang w:val="en-IN"/>
        </w:rPr>
      </w:pPr>
      <w:r w:rsidRPr="0041215D">
        <w:rPr>
          <w:rFonts w:cs="Times New Roman"/>
          <w:color w:val="1F497D"/>
          <w:sz w:val="20"/>
          <w:szCs w:val="20"/>
          <w:lang w:val="en-IN"/>
        </w:rPr>
        <w:t xml:space="preserve">where </w:t>
      </w:r>
      <m:oMath>
        <m:sSub>
          <m:sSubPr>
            <m:ctrlPr>
              <w:rPr>
                <w:rFonts w:ascii="Cambria Math" w:hAnsi="Cambria Math" w:cs="Times New Roman"/>
                <w:color w:val="1F497D"/>
                <w:sz w:val="20"/>
                <w:szCs w:val="20"/>
                <w:lang w:val="en-IN"/>
              </w:rPr>
            </m:ctrlPr>
          </m:sSubPr>
          <m:e>
            <m:r>
              <w:rPr>
                <w:rFonts w:ascii="Cambria Math" w:hAnsi="Cambria Math" w:cs="Times New Roman"/>
                <w:color w:val="1F497D"/>
                <w:sz w:val="20"/>
                <w:szCs w:val="20"/>
                <w:lang w:val="en-IN"/>
              </w:rPr>
              <m:t>R</m:t>
            </m:r>
          </m:e>
          <m:sub>
            <m:r>
              <w:rPr>
                <w:rFonts w:ascii="Cambria Math" w:hAnsi="Cambria Math" w:cs="Times New Roman"/>
                <w:color w:val="1F497D"/>
                <w:sz w:val="20"/>
                <w:szCs w:val="20"/>
                <w:lang w:val="en-IN"/>
              </w:rPr>
              <m:t>i</m:t>
            </m:r>
            <m:r>
              <m:rPr>
                <m:sty m:val="p"/>
              </m:rPr>
              <w:rPr>
                <w:rFonts w:ascii="Cambria Math" w:hAnsi="Cambria Math" w:cs="Times New Roman"/>
                <w:color w:val="1F497D"/>
                <w:sz w:val="20"/>
                <w:szCs w:val="20"/>
                <w:lang w:val="en-IN"/>
              </w:rPr>
              <m:t>,</m:t>
            </m:r>
            <m:r>
              <w:rPr>
                <w:rFonts w:ascii="Cambria Math" w:hAnsi="Cambria Math" w:cs="Times New Roman"/>
                <w:color w:val="1F497D"/>
                <w:sz w:val="20"/>
                <w:szCs w:val="20"/>
                <w:lang w:val="en-IN"/>
              </w:rPr>
              <m:t>t</m:t>
            </m:r>
          </m:sub>
        </m:sSub>
      </m:oMath>
      <w:r w:rsidRPr="0041215D">
        <w:rPr>
          <w:rFonts w:cs="Times New Roman"/>
          <w:color w:val="1F497D"/>
          <w:sz w:val="20"/>
          <w:szCs w:val="20"/>
          <w:lang w:val="en-IN"/>
        </w:rPr>
        <w:t xml:space="preserve"> is the return of stock </w:t>
      </w:r>
      <m:oMath>
        <m:r>
          <w:rPr>
            <w:rFonts w:ascii="Cambria Math" w:hAnsi="Cambria Math" w:cs="Times New Roman"/>
            <w:color w:val="1F497D"/>
            <w:sz w:val="20"/>
            <w:szCs w:val="20"/>
            <w:lang w:val="en-IN"/>
          </w:rPr>
          <m:t>i</m:t>
        </m:r>
      </m:oMath>
      <w:r w:rsidRPr="0041215D">
        <w:rPr>
          <w:rFonts w:cs="Times New Roman"/>
          <w:color w:val="1F497D"/>
          <w:sz w:val="20"/>
          <w:szCs w:val="20"/>
          <w:lang w:val="en-IN"/>
        </w:rPr>
        <w:t xml:space="preserve"> and </w:t>
      </w:r>
      <m:oMath>
        <m:sSub>
          <m:sSubPr>
            <m:ctrlPr>
              <w:rPr>
                <w:rFonts w:ascii="Cambria Math" w:hAnsi="Cambria Math" w:cs="Times New Roman"/>
                <w:color w:val="1F497D"/>
                <w:sz w:val="20"/>
                <w:szCs w:val="20"/>
                <w:lang w:val="en-IN"/>
              </w:rPr>
            </m:ctrlPr>
          </m:sSubPr>
          <m:e>
            <m:r>
              <w:rPr>
                <w:rFonts w:ascii="Cambria Math" w:hAnsi="Cambria Math" w:cs="Times New Roman"/>
                <w:color w:val="1F497D"/>
                <w:sz w:val="20"/>
                <w:szCs w:val="20"/>
                <w:lang w:val="en-IN"/>
              </w:rPr>
              <m:t>R</m:t>
            </m:r>
          </m:e>
          <m:sub>
            <m:r>
              <w:rPr>
                <w:rFonts w:ascii="Cambria Math" w:hAnsi="Cambria Math" w:cs="Times New Roman"/>
                <w:color w:val="1F497D"/>
                <w:sz w:val="20"/>
                <w:szCs w:val="20"/>
                <w:lang w:val="en-IN"/>
              </w:rPr>
              <m:t>m</m:t>
            </m:r>
            <m:r>
              <m:rPr>
                <m:sty m:val="p"/>
              </m:rPr>
              <w:rPr>
                <w:rFonts w:ascii="Cambria Math" w:hAnsi="Cambria Math" w:cs="Times New Roman"/>
                <w:color w:val="1F497D"/>
                <w:sz w:val="20"/>
                <w:szCs w:val="20"/>
                <w:lang w:val="en-IN"/>
              </w:rPr>
              <m:t>,</m:t>
            </m:r>
            <m:r>
              <w:rPr>
                <w:rFonts w:ascii="Cambria Math" w:hAnsi="Cambria Math" w:cs="Times New Roman"/>
                <w:color w:val="1F497D"/>
                <w:sz w:val="20"/>
                <w:szCs w:val="20"/>
                <w:lang w:val="en-IN"/>
              </w:rPr>
              <m:t>t</m:t>
            </m:r>
          </m:sub>
        </m:sSub>
      </m:oMath>
      <w:r w:rsidRPr="0041215D">
        <w:rPr>
          <w:rFonts w:cs="Times New Roman"/>
          <w:color w:val="1F497D"/>
          <w:sz w:val="20"/>
          <w:szCs w:val="20"/>
          <w:lang w:val="en-IN"/>
        </w:rPr>
        <w:t xml:space="preserve"> is the market return.</w:t>
      </w:r>
    </w:p>
    <w:p w14:paraId="1327B066" w14:textId="77777777" w:rsidR="0041215D" w:rsidRDefault="0041215D" w:rsidP="0041215D">
      <w:pPr>
        <w:pStyle w:val="BodyText"/>
        <w:jc w:val="both"/>
        <w:rPr>
          <w:rFonts w:eastAsiaTheme="minorHAnsi"/>
          <w:color w:val="1F497D"/>
          <w:sz w:val="20"/>
          <w:szCs w:val="20"/>
          <w:lang w:val="en-IN"/>
        </w:rPr>
      </w:pPr>
    </w:p>
    <w:p w14:paraId="745190B6" w14:textId="6ACB451F" w:rsidR="0041215D" w:rsidRPr="0041215D" w:rsidRDefault="0041215D" w:rsidP="0041215D">
      <w:pPr>
        <w:pStyle w:val="BodyText"/>
        <w:jc w:val="center"/>
        <w:rPr>
          <w:rFonts w:eastAsiaTheme="minorHAnsi"/>
          <w:b/>
          <w:bCs/>
          <w:color w:val="1F497D"/>
          <w:sz w:val="20"/>
          <w:szCs w:val="20"/>
          <w:lang w:val="en-IN"/>
        </w:rPr>
      </w:pPr>
      <w:r w:rsidRPr="0041215D">
        <w:rPr>
          <w:rFonts w:eastAsiaTheme="minorHAnsi"/>
          <w:b/>
          <w:bCs/>
          <w:color w:val="1F497D"/>
          <w:sz w:val="20"/>
          <w:szCs w:val="20"/>
          <w:lang w:val="en-IN"/>
        </w:rPr>
        <w:t>Table 3: Behavioral Metrics Across Crises</w:t>
      </w:r>
    </w:p>
    <w:tbl>
      <w:tblPr>
        <w:tblStyle w:val="Table"/>
        <w:tblW w:w="0" w:type="auto"/>
        <w:jc w:val="center"/>
        <w:tblLook w:val="0020" w:firstRow="1" w:lastRow="0" w:firstColumn="0" w:lastColumn="0" w:noHBand="0" w:noVBand="0"/>
      </w:tblPr>
      <w:tblGrid>
        <w:gridCol w:w="2227"/>
        <w:gridCol w:w="2744"/>
        <w:gridCol w:w="3205"/>
        <w:gridCol w:w="1150"/>
      </w:tblGrid>
      <w:tr w:rsidR="0041215D" w:rsidRPr="0041215D" w14:paraId="7E777F06" w14:textId="77777777" w:rsidTr="0041215D">
        <w:trPr>
          <w:cnfStyle w:val="100000000000" w:firstRow="1" w:lastRow="0" w:firstColumn="0" w:lastColumn="0" w:oddVBand="0" w:evenVBand="0" w:oddHBand="0" w:evenHBand="0" w:firstRowFirstColumn="0" w:firstRowLastColumn="0" w:lastRowFirstColumn="0" w:lastRowLastColumn="0"/>
          <w:tblHeader/>
          <w:jc w:val="center"/>
        </w:trPr>
        <w:tc>
          <w:tcPr>
            <w:tcW w:w="0" w:type="auto"/>
          </w:tcPr>
          <w:p w14:paraId="78298083"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Period</w:t>
            </w:r>
          </w:p>
        </w:tc>
        <w:tc>
          <w:tcPr>
            <w:tcW w:w="0" w:type="auto"/>
          </w:tcPr>
          <w:p w14:paraId="6B341F18"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Disposition Effect Ratio (DER)</w:t>
            </w:r>
          </w:p>
        </w:tc>
        <w:tc>
          <w:tcPr>
            <w:tcW w:w="0" w:type="auto"/>
          </w:tcPr>
          <w:p w14:paraId="4999BF26"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Herd Measure (HMI) - CSAD (Avg.)</w:t>
            </w:r>
          </w:p>
        </w:tc>
        <w:tc>
          <w:tcPr>
            <w:tcW w:w="0" w:type="auto"/>
          </w:tcPr>
          <w:p w14:paraId="2A46F025"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VIX (Avg.)</w:t>
            </w:r>
          </w:p>
        </w:tc>
      </w:tr>
      <w:tr w:rsidR="0041215D" w:rsidRPr="0041215D" w14:paraId="074AB9A8" w14:textId="77777777" w:rsidTr="0041215D">
        <w:trPr>
          <w:jc w:val="center"/>
        </w:trPr>
        <w:tc>
          <w:tcPr>
            <w:tcW w:w="0" w:type="auto"/>
          </w:tcPr>
          <w:p w14:paraId="4951033D"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Pre-Crisis (2006-2007)</w:t>
            </w:r>
          </w:p>
        </w:tc>
        <w:tc>
          <w:tcPr>
            <w:tcW w:w="0" w:type="auto"/>
          </w:tcPr>
          <w:p w14:paraId="43F610F4"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0.85</w:t>
            </w:r>
          </w:p>
        </w:tc>
        <w:tc>
          <w:tcPr>
            <w:tcW w:w="0" w:type="auto"/>
          </w:tcPr>
          <w:p w14:paraId="51F539A8"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1.25%</w:t>
            </w:r>
          </w:p>
        </w:tc>
        <w:tc>
          <w:tcPr>
            <w:tcW w:w="0" w:type="auto"/>
          </w:tcPr>
          <w:p w14:paraId="47B1B3C7"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12.5</w:t>
            </w:r>
          </w:p>
        </w:tc>
      </w:tr>
      <w:tr w:rsidR="0041215D" w:rsidRPr="0041215D" w14:paraId="76ED8DFA" w14:textId="77777777" w:rsidTr="0041215D">
        <w:trPr>
          <w:jc w:val="center"/>
        </w:trPr>
        <w:tc>
          <w:tcPr>
            <w:tcW w:w="0" w:type="auto"/>
          </w:tcPr>
          <w:p w14:paraId="58C105C5"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2008 GFC (Q4 2008)</w:t>
            </w:r>
          </w:p>
        </w:tc>
        <w:tc>
          <w:tcPr>
            <w:tcW w:w="0" w:type="auto"/>
          </w:tcPr>
          <w:p w14:paraId="00074910"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1.25</w:t>
            </w:r>
          </w:p>
        </w:tc>
        <w:tc>
          <w:tcPr>
            <w:tcW w:w="0" w:type="auto"/>
          </w:tcPr>
          <w:p w14:paraId="328A8CE8"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0.45%</w:t>
            </w:r>
          </w:p>
        </w:tc>
        <w:tc>
          <w:tcPr>
            <w:tcW w:w="0" w:type="auto"/>
          </w:tcPr>
          <w:p w14:paraId="084C6C90"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59.0</w:t>
            </w:r>
          </w:p>
        </w:tc>
      </w:tr>
      <w:tr w:rsidR="0041215D" w:rsidRPr="0041215D" w14:paraId="3E453A70" w14:textId="77777777" w:rsidTr="0041215D">
        <w:trPr>
          <w:jc w:val="center"/>
        </w:trPr>
        <w:tc>
          <w:tcPr>
            <w:tcW w:w="0" w:type="auto"/>
          </w:tcPr>
          <w:p w14:paraId="126C9C78"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Pre-Crisis (2019)</w:t>
            </w:r>
          </w:p>
        </w:tc>
        <w:tc>
          <w:tcPr>
            <w:tcW w:w="0" w:type="auto"/>
          </w:tcPr>
          <w:p w14:paraId="6BBB69C1"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0.88</w:t>
            </w:r>
          </w:p>
        </w:tc>
        <w:tc>
          <w:tcPr>
            <w:tcW w:w="0" w:type="auto"/>
          </w:tcPr>
          <w:p w14:paraId="0FD4F9DE"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1.18%</w:t>
            </w:r>
          </w:p>
        </w:tc>
        <w:tc>
          <w:tcPr>
            <w:tcW w:w="0" w:type="auto"/>
          </w:tcPr>
          <w:p w14:paraId="78826AB9"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15.3</w:t>
            </w:r>
          </w:p>
        </w:tc>
      </w:tr>
      <w:tr w:rsidR="0041215D" w:rsidRPr="0041215D" w14:paraId="473C9647" w14:textId="77777777" w:rsidTr="0041215D">
        <w:trPr>
          <w:jc w:val="center"/>
        </w:trPr>
        <w:tc>
          <w:tcPr>
            <w:tcW w:w="0" w:type="auto"/>
          </w:tcPr>
          <w:p w14:paraId="00DF9EA7"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2020 Crash (Mar 2020)</w:t>
            </w:r>
          </w:p>
        </w:tc>
        <w:tc>
          <w:tcPr>
            <w:tcW w:w="0" w:type="auto"/>
          </w:tcPr>
          <w:p w14:paraId="1DD6167B"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1.40</w:t>
            </w:r>
          </w:p>
        </w:tc>
        <w:tc>
          <w:tcPr>
            <w:tcW w:w="0" w:type="auto"/>
          </w:tcPr>
          <w:p w14:paraId="39292DCC"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0.38%</w:t>
            </w:r>
          </w:p>
        </w:tc>
        <w:tc>
          <w:tcPr>
            <w:tcW w:w="0" w:type="auto"/>
          </w:tcPr>
          <w:p w14:paraId="7BCECA87"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62.2</w:t>
            </w:r>
          </w:p>
        </w:tc>
      </w:tr>
      <w:tr w:rsidR="0041215D" w:rsidRPr="0041215D" w14:paraId="506E178D" w14:textId="77777777" w:rsidTr="0041215D">
        <w:trPr>
          <w:jc w:val="center"/>
        </w:trPr>
        <w:tc>
          <w:tcPr>
            <w:tcW w:w="0" w:type="auto"/>
          </w:tcPr>
          <w:p w14:paraId="7A5DF7BC"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Normal Volatility (2021)</w:t>
            </w:r>
          </w:p>
        </w:tc>
        <w:tc>
          <w:tcPr>
            <w:tcW w:w="0" w:type="auto"/>
          </w:tcPr>
          <w:p w14:paraId="01F5CE41"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0.90</w:t>
            </w:r>
          </w:p>
        </w:tc>
        <w:tc>
          <w:tcPr>
            <w:tcW w:w="0" w:type="auto"/>
          </w:tcPr>
          <w:p w14:paraId="4DF636E7"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1.20%</w:t>
            </w:r>
          </w:p>
        </w:tc>
        <w:tc>
          <w:tcPr>
            <w:tcW w:w="0" w:type="auto"/>
          </w:tcPr>
          <w:p w14:paraId="79A52AF6"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19.5</w:t>
            </w:r>
          </w:p>
        </w:tc>
      </w:tr>
    </w:tbl>
    <w:p w14:paraId="2A8A638D" w14:textId="77777777" w:rsidR="0041215D" w:rsidRPr="0041215D" w:rsidRDefault="0041215D" w:rsidP="0041215D">
      <w:pPr>
        <w:pStyle w:val="BodyText"/>
        <w:jc w:val="both"/>
        <w:rPr>
          <w:rFonts w:eastAsiaTheme="minorHAnsi"/>
          <w:color w:val="1F497D"/>
          <w:sz w:val="20"/>
          <w:szCs w:val="20"/>
          <w:lang w:val="en-IN"/>
        </w:rPr>
      </w:pPr>
      <w:r w:rsidRPr="0041215D">
        <w:rPr>
          <w:rFonts w:eastAsiaTheme="minorHAnsi"/>
          <w:color w:val="1F497D"/>
          <w:sz w:val="20"/>
          <w:szCs w:val="20"/>
          <w:lang w:val="en-IN"/>
        </w:rPr>
        <w:t>Hypothetical data for illustration, consistent with findings in [16], [3], and [7].</w:t>
      </w:r>
    </w:p>
    <w:p w14:paraId="1A19DE35" w14:textId="77777777" w:rsidR="0041215D" w:rsidRPr="0041215D" w:rsidRDefault="0041215D" w:rsidP="0041215D">
      <w:pPr>
        <w:pStyle w:val="BodyText"/>
        <w:jc w:val="center"/>
        <w:rPr>
          <w:rFonts w:eastAsiaTheme="minorHAnsi"/>
          <w:color w:val="1F497D"/>
          <w:sz w:val="20"/>
          <w:szCs w:val="20"/>
          <w:lang w:val="en-IN"/>
        </w:rPr>
      </w:pPr>
      <w:r w:rsidRPr="0041215D">
        <w:rPr>
          <w:rFonts w:eastAsiaTheme="minorHAnsi"/>
          <w:color w:val="1F497D"/>
          <w:sz w:val="20"/>
          <w:szCs w:val="20"/>
          <w:lang w:val="en-IN"/>
        </w:rPr>
        <w:lastRenderedPageBreak/>
        <w:drawing>
          <wp:inline distT="0" distB="0" distL="0" distR="0" wp14:anchorId="7D7552EE" wp14:editId="18FB6A8E">
            <wp:extent cx="5731510" cy="3193501"/>
            <wp:effectExtent l="0" t="0" r="2540" b="6985"/>
            <wp:docPr id="3106184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618475" name="Picture 310618475"/>
                    <pic:cNvPicPr/>
                  </pic:nvPicPr>
                  <pic:blipFill rotWithShape="1">
                    <a:blip r:embed="rId21" cstate="print">
                      <a:extLst>
                        <a:ext uri="{BEBA8EAE-BF5A-486C-A8C5-ECC9F3942E4B}">
                          <a14:imgProps xmlns:a14="http://schemas.microsoft.com/office/drawing/2010/main">
                            <a14:imgLayer r:embed="rId22">
                              <a14:imgEffect>
                                <a14:saturation sat="400000"/>
                              </a14:imgEffect>
                            </a14:imgLayer>
                          </a14:imgProps>
                        </a:ext>
                        <a:ext uri="{28A0092B-C50C-407E-A947-70E740481C1C}">
                          <a14:useLocalDpi xmlns:a14="http://schemas.microsoft.com/office/drawing/2010/main" val="0"/>
                        </a:ext>
                      </a:extLst>
                    </a:blip>
                    <a:srcRect t="7143"/>
                    <a:stretch>
                      <a:fillRect/>
                    </a:stretch>
                  </pic:blipFill>
                  <pic:spPr bwMode="auto">
                    <a:xfrm>
                      <a:off x="0" y="0"/>
                      <a:ext cx="5731510" cy="3193501"/>
                    </a:xfrm>
                    <a:prstGeom prst="rect">
                      <a:avLst/>
                    </a:prstGeom>
                    <a:ln>
                      <a:noFill/>
                    </a:ln>
                    <a:extLst>
                      <a:ext uri="{53640926-AAD7-44D8-BBD7-CCE9431645EC}">
                        <a14:shadowObscured xmlns:a14="http://schemas.microsoft.com/office/drawing/2010/main"/>
                      </a:ext>
                    </a:extLst>
                  </pic:spPr>
                </pic:pic>
              </a:graphicData>
            </a:graphic>
          </wp:inline>
        </w:drawing>
      </w:r>
    </w:p>
    <w:p w14:paraId="6D6E63C1" w14:textId="77777777" w:rsidR="0041215D" w:rsidRPr="0041215D" w:rsidRDefault="0041215D" w:rsidP="0041215D">
      <w:pPr>
        <w:pStyle w:val="BodyText"/>
        <w:jc w:val="center"/>
        <w:rPr>
          <w:rFonts w:eastAsiaTheme="minorHAnsi"/>
          <w:b/>
          <w:bCs/>
          <w:color w:val="1F497D"/>
          <w:sz w:val="20"/>
          <w:szCs w:val="20"/>
          <w:lang w:val="en-IN"/>
        </w:rPr>
      </w:pPr>
      <w:r w:rsidRPr="0041215D">
        <w:rPr>
          <w:rFonts w:eastAsiaTheme="minorHAnsi"/>
          <w:b/>
          <w:bCs/>
          <w:color w:val="1F497D"/>
          <w:sz w:val="20"/>
          <w:szCs w:val="20"/>
          <w:lang w:val="en-IN"/>
        </w:rPr>
        <w:t>Figure 3 — "Behavioral metrics across crisis periods." Caption: "Disposition Effect Ratio (DER), Herd Measure (CSAD), and average VIX across pre-crisis, crisis, and normal periods — illustrating behavioral shifts in crises."</w:t>
      </w:r>
    </w:p>
    <w:p w14:paraId="46AF8255" w14:textId="77777777" w:rsidR="0041215D" w:rsidRDefault="0041215D" w:rsidP="0041215D">
      <w:pPr>
        <w:pStyle w:val="BodyText"/>
        <w:jc w:val="both"/>
        <w:rPr>
          <w:rFonts w:eastAsiaTheme="minorHAnsi"/>
          <w:color w:val="1F497D"/>
          <w:sz w:val="20"/>
          <w:szCs w:val="20"/>
          <w:lang w:val="en-IN"/>
        </w:rPr>
      </w:pPr>
    </w:p>
    <w:p w14:paraId="3EF5CE69" w14:textId="74A70674" w:rsidR="0041215D" w:rsidRPr="0041215D" w:rsidRDefault="0041215D" w:rsidP="0041215D">
      <w:pPr>
        <w:pStyle w:val="BodyText"/>
        <w:jc w:val="both"/>
        <w:rPr>
          <w:rFonts w:eastAsiaTheme="minorHAnsi"/>
          <w:color w:val="1F497D"/>
          <w:sz w:val="20"/>
          <w:szCs w:val="20"/>
          <w:lang w:val="en-IN"/>
        </w:rPr>
      </w:pPr>
      <w:r w:rsidRPr="0041215D">
        <w:rPr>
          <w:rFonts w:eastAsiaTheme="minorHAnsi"/>
          <w:color w:val="1F497D"/>
          <w:sz w:val="20"/>
          <w:szCs w:val="20"/>
          <w:lang w:val="en-IN"/>
        </w:rPr>
        <w:t>Interpretation: The DER flipping from below 1 to significantly above 1 during crises indicates that loss aversion has overpowered the disposition effect. Investors are now selling losers more aggressively than winners, driving the panic. The simultaneous, sharp drop in CSAD provides strong evidence of market-wide herding, where individual stock returns converge tightly with the market return.</w:t>
      </w:r>
    </w:p>
    <w:p w14:paraId="4F76806A" w14:textId="77777777" w:rsidR="0041215D" w:rsidRDefault="0041215D" w:rsidP="0041215D">
      <w:pPr>
        <w:pStyle w:val="BodyText"/>
        <w:jc w:val="both"/>
        <w:rPr>
          <w:rFonts w:eastAsiaTheme="minorHAnsi"/>
          <w:color w:val="1F497D"/>
          <w:sz w:val="20"/>
          <w:szCs w:val="20"/>
          <w:lang w:val="en-IN"/>
        </w:rPr>
      </w:pPr>
    </w:p>
    <w:p w14:paraId="76FC702D" w14:textId="5627C9D3" w:rsidR="0041215D" w:rsidRPr="0041215D" w:rsidRDefault="0041215D" w:rsidP="0041215D">
      <w:pPr>
        <w:pStyle w:val="BodyText"/>
        <w:jc w:val="both"/>
        <w:rPr>
          <w:rFonts w:eastAsiaTheme="minorHAnsi"/>
          <w:b/>
          <w:bCs/>
          <w:color w:val="1F497D"/>
          <w:sz w:val="20"/>
          <w:szCs w:val="20"/>
          <w:lang w:val="en-IN"/>
        </w:rPr>
      </w:pPr>
      <w:r w:rsidRPr="0041215D">
        <w:rPr>
          <w:rFonts w:eastAsiaTheme="minorHAnsi"/>
          <w:b/>
          <w:bCs/>
          <w:color w:val="1F497D"/>
          <w:sz w:val="20"/>
          <w:szCs w:val="20"/>
          <w:lang w:val="en-IN"/>
        </w:rPr>
        <w:t>5.2 Sentiment Indices and Market Volatility</w:t>
      </w:r>
    </w:p>
    <w:p w14:paraId="4D686CFA" w14:textId="77777777" w:rsidR="0041215D" w:rsidRPr="0041215D" w:rsidRDefault="0041215D" w:rsidP="0041215D">
      <w:pPr>
        <w:pStyle w:val="BodyText"/>
        <w:jc w:val="both"/>
        <w:rPr>
          <w:rFonts w:eastAsiaTheme="minorHAnsi"/>
          <w:color w:val="1F497D"/>
          <w:sz w:val="20"/>
          <w:szCs w:val="20"/>
          <w:lang w:val="en-IN"/>
        </w:rPr>
      </w:pPr>
      <w:r w:rsidRPr="0041215D">
        <w:rPr>
          <w:rFonts w:eastAsiaTheme="minorHAnsi"/>
          <w:color w:val="1F497D"/>
          <w:sz w:val="20"/>
          <w:szCs w:val="20"/>
          <w:lang w:val="en-IN"/>
        </w:rPr>
        <w:t>Building on the synthesis model (Sec 3.4), we construct a simplified composite sentiment index for the two crises. The index is a normalized average of:</w:t>
      </w:r>
    </w:p>
    <w:p w14:paraId="3A298BC3" w14:textId="77777777" w:rsidR="0041215D" w:rsidRPr="0041215D" w:rsidRDefault="0041215D" w:rsidP="0041215D">
      <w:pPr>
        <w:pStyle w:val="Compact"/>
        <w:numPr>
          <w:ilvl w:val="0"/>
          <w:numId w:val="198"/>
        </w:numPr>
        <w:spacing w:after="0"/>
        <w:jc w:val="both"/>
        <w:rPr>
          <w:rFonts w:cs="Times New Roman"/>
          <w:color w:val="1F497D"/>
          <w:sz w:val="20"/>
          <w:szCs w:val="20"/>
          <w:lang w:val="en-IN"/>
        </w:rPr>
      </w:pPr>
      <w:r w:rsidRPr="0041215D">
        <w:rPr>
          <w:rFonts w:cs="Times New Roman"/>
          <w:color w:val="1F497D"/>
          <w:sz w:val="20"/>
          <w:szCs w:val="20"/>
          <w:lang w:val="en-IN"/>
        </w:rPr>
        <w:t>Fear Index: VIX Level</w:t>
      </w:r>
    </w:p>
    <w:p w14:paraId="66E3829E" w14:textId="77777777" w:rsidR="0041215D" w:rsidRPr="0041215D" w:rsidRDefault="0041215D" w:rsidP="0041215D">
      <w:pPr>
        <w:pStyle w:val="Compact"/>
        <w:numPr>
          <w:ilvl w:val="0"/>
          <w:numId w:val="198"/>
        </w:numPr>
        <w:spacing w:after="0"/>
        <w:jc w:val="both"/>
        <w:rPr>
          <w:rFonts w:cs="Times New Roman"/>
          <w:color w:val="1F497D"/>
          <w:sz w:val="20"/>
          <w:szCs w:val="20"/>
          <w:lang w:val="en-IN"/>
        </w:rPr>
      </w:pPr>
      <w:r w:rsidRPr="0041215D">
        <w:rPr>
          <w:rFonts w:cs="Times New Roman"/>
          <w:color w:val="1F497D"/>
          <w:sz w:val="20"/>
          <w:szCs w:val="20"/>
          <w:lang w:val="en-IN"/>
        </w:rPr>
        <w:t>Uncertainty Index: Economic Policy Uncertainty Index [11]</w:t>
      </w:r>
    </w:p>
    <w:p w14:paraId="4116CBE1" w14:textId="77777777" w:rsidR="0041215D" w:rsidRPr="0041215D" w:rsidRDefault="0041215D" w:rsidP="0041215D">
      <w:pPr>
        <w:pStyle w:val="Compact"/>
        <w:numPr>
          <w:ilvl w:val="0"/>
          <w:numId w:val="198"/>
        </w:numPr>
        <w:spacing w:after="0"/>
        <w:jc w:val="both"/>
        <w:rPr>
          <w:rFonts w:cs="Times New Roman"/>
          <w:color w:val="1F497D"/>
          <w:sz w:val="20"/>
          <w:szCs w:val="20"/>
          <w:lang w:val="en-IN"/>
        </w:rPr>
      </w:pPr>
      <w:r w:rsidRPr="0041215D">
        <w:rPr>
          <w:rFonts w:cs="Times New Roman"/>
          <w:color w:val="1F497D"/>
          <w:sz w:val="20"/>
          <w:szCs w:val="20"/>
          <w:lang w:val="en-IN"/>
        </w:rPr>
        <w:t>Retail Momentum: Ratio of retail-dominated stock volume to total volume.</w:t>
      </w:r>
    </w:p>
    <w:p w14:paraId="22984078" w14:textId="77777777" w:rsidR="0041215D" w:rsidRPr="0041215D" w:rsidRDefault="0041215D" w:rsidP="0041215D">
      <w:pPr>
        <w:pStyle w:val="FirstParagraph"/>
        <w:spacing w:after="0"/>
        <w:jc w:val="center"/>
        <w:rPr>
          <w:rFonts w:cs="Times New Roman"/>
          <w:b/>
          <w:bCs/>
          <w:color w:val="1F497D"/>
          <w:sz w:val="20"/>
          <w:szCs w:val="20"/>
          <w:lang w:val="en-IN"/>
        </w:rPr>
      </w:pPr>
      <w:r w:rsidRPr="0041215D">
        <w:rPr>
          <w:rFonts w:cs="Times New Roman"/>
          <w:b/>
          <w:bCs/>
          <w:color w:val="1F497D"/>
          <w:sz w:val="20"/>
          <w:szCs w:val="20"/>
          <w:lang w:val="en-IN"/>
        </w:rPr>
        <w:t>Table 4: Composite Behavioral Sentiment Index and Corresponding Volatility</w:t>
      </w:r>
    </w:p>
    <w:tbl>
      <w:tblPr>
        <w:tblStyle w:val="Table"/>
        <w:tblW w:w="0" w:type="auto"/>
        <w:jc w:val="center"/>
        <w:tblLook w:val="0020" w:firstRow="1" w:lastRow="0" w:firstColumn="0" w:lastColumn="0" w:noHBand="0" w:noVBand="0"/>
      </w:tblPr>
      <w:tblGrid>
        <w:gridCol w:w="1354"/>
        <w:gridCol w:w="1785"/>
        <w:gridCol w:w="1959"/>
        <w:gridCol w:w="2195"/>
        <w:gridCol w:w="2369"/>
      </w:tblGrid>
      <w:tr w:rsidR="0041215D" w:rsidRPr="0041215D" w14:paraId="3CA1C57E" w14:textId="77777777" w:rsidTr="0041215D">
        <w:trPr>
          <w:cnfStyle w:val="100000000000" w:firstRow="1" w:lastRow="0" w:firstColumn="0" w:lastColumn="0" w:oddVBand="0" w:evenVBand="0" w:oddHBand="0" w:evenHBand="0" w:firstRowFirstColumn="0" w:firstRowLastColumn="0" w:lastRowFirstColumn="0" w:lastRowLastColumn="0"/>
          <w:tblHeader/>
          <w:jc w:val="center"/>
        </w:trPr>
        <w:tc>
          <w:tcPr>
            <w:tcW w:w="0" w:type="auto"/>
          </w:tcPr>
          <w:p w14:paraId="45EE0B3E"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Month</w:t>
            </w:r>
          </w:p>
        </w:tc>
        <w:tc>
          <w:tcPr>
            <w:tcW w:w="0" w:type="auto"/>
          </w:tcPr>
          <w:p w14:paraId="58322695"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GFC Sentiment Index</w:t>
            </w:r>
          </w:p>
        </w:tc>
        <w:tc>
          <w:tcPr>
            <w:tcW w:w="0" w:type="auto"/>
          </w:tcPr>
          <w:p w14:paraId="16FF12E6"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GFC S&amp;P 500 Volatility</w:t>
            </w:r>
          </w:p>
        </w:tc>
        <w:tc>
          <w:tcPr>
            <w:tcW w:w="0" w:type="auto"/>
          </w:tcPr>
          <w:p w14:paraId="5284C331"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COVID-19 Sentiment Index</w:t>
            </w:r>
          </w:p>
        </w:tc>
        <w:tc>
          <w:tcPr>
            <w:tcW w:w="0" w:type="auto"/>
          </w:tcPr>
          <w:p w14:paraId="4A410D23"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COVID-19 S&amp;P 500 Volatility</w:t>
            </w:r>
          </w:p>
        </w:tc>
      </w:tr>
      <w:tr w:rsidR="0041215D" w:rsidRPr="0041215D" w14:paraId="309D063F" w14:textId="77777777" w:rsidTr="0041215D">
        <w:trPr>
          <w:jc w:val="center"/>
        </w:trPr>
        <w:tc>
          <w:tcPr>
            <w:tcW w:w="0" w:type="auto"/>
          </w:tcPr>
          <w:p w14:paraId="25223B15"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T-6 (Pre-Crisis)</w:t>
            </w:r>
          </w:p>
        </w:tc>
        <w:tc>
          <w:tcPr>
            <w:tcW w:w="0" w:type="auto"/>
          </w:tcPr>
          <w:p w14:paraId="2D4152F9"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45</w:t>
            </w:r>
          </w:p>
        </w:tc>
        <w:tc>
          <w:tcPr>
            <w:tcW w:w="0" w:type="auto"/>
          </w:tcPr>
          <w:p w14:paraId="3E18D2BB"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15%</w:t>
            </w:r>
          </w:p>
        </w:tc>
        <w:tc>
          <w:tcPr>
            <w:tcW w:w="0" w:type="auto"/>
          </w:tcPr>
          <w:p w14:paraId="59591338"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48</w:t>
            </w:r>
          </w:p>
        </w:tc>
        <w:tc>
          <w:tcPr>
            <w:tcW w:w="0" w:type="auto"/>
          </w:tcPr>
          <w:p w14:paraId="49432987"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12%</w:t>
            </w:r>
          </w:p>
        </w:tc>
      </w:tr>
      <w:tr w:rsidR="0041215D" w:rsidRPr="0041215D" w14:paraId="34F8E8CD" w14:textId="77777777" w:rsidTr="0041215D">
        <w:trPr>
          <w:jc w:val="center"/>
        </w:trPr>
        <w:tc>
          <w:tcPr>
            <w:tcW w:w="0" w:type="auto"/>
          </w:tcPr>
          <w:p w14:paraId="13056F70"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T-3</w:t>
            </w:r>
          </w:p>
        </w:tc>
        <w:tc>
          <w:tcPr>
            <w:tcW w:w="0" w:type="auto"/>
          </w:tcPr>
          <w:p w14:paraId="5290D947"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60</w:t>
            </w:r>
          </w:p>
        </w:tc>
        <w:tc>
          <w:tcPr>
            <w:tcW w:w="0" w:type="auto"/>
          </w:tcPr>
          <w:p w14:paraId="19EC5E79"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22%</w:t>
            </w:r>
          </w:p>
        </w:tc>
        <w:tc>
          <w:tcPr>
            <w:tcW w:w="0" w:type="auto"/>
          </w:tcPr>
          <w:p w14:paraId="1BF10E18"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52</w:t>
            </w:r>
          </w:p>
        </w:tc>
        <w:tc>
          <w:tcPr>
            <w:tcW w:w="0" w:type="auto"/>
          </w:tcPr>
          <w:p w14:paraId="09B662CC"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18%</w:t>
            </w:r>
          </w:p>
        </w:tc>
      </w:tr>
      <w:tr w:rsidR="0041215D" w:rsidRPr="0041215D" w14:paraId="61B110F7" w14:textId="77777777" w:rsidTr="0041215D">
        <w:trPr>
          <w:jc w:val="center"/>
        </w:trPr>
        <w:tc>
          <w:tcPr>
            <w:tcW w:w="0" w:type="auto"/>
          </w:tcPr>
          <w:p w14:paraId="4C07DF42"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T (Event)</w:t>
            </w:r>
          </w:p>
        </w:tc>
        <w:tc>
          <w:tcPr>
            <w:tcW w:w="0" w:type="auto"/>
          </w:tcPr>
          <w:p w14:paraId="650CB832"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95</w:t>
            </w:r>
          </w:p>
        </w:tc>
        <w:tc>
          <w:tcPr>
            <w:tcW w:w="0" w:type="auto"/>
          </w:tcPr>
          <w:p w14:paraId="34035279"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85%</w:t>
            </w:r>
          </w:p>
        </w:tc>
        <w:tc>
          <w:tcPr>
            <w:tcW w:w="0" w:type="auto"/>
          </w:tcPr>
          <w:p w14:paraId="7E7FAC8B"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98</w:t>
            </w:r>
          </w:p>
        </w:tc>
        <w:tc>
          <w:tcPr>
            <w:tcW w:w="0" w:type="auto"/>
          </w:tcPr>
          <w:p w14:paraId="030B405E"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82%</w:t>
            </w:r>
          </w:p>
        </w:tc>
      </w:tr>
      <w:tr w:rsidR="0041215D" w:rsidRPr="0041215D" w14:paraId="1EE2CE4B" w14:textId="77777777" w:rsidTr="0041215D">
        <w:trPr>
          <w:jc w:val="center"/>
        </w:trPr>
        <w:tc>
          <w:tcPr>
            <w:tcW w:w="0" w:type="auto"/>
          </w:tcPr>
          <w:p w14:paraId="60E4C420"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T+3</w:t>
            </w:r>
          </w:p>
        </w:tc>
        <w:tc>
          <w:tcPr>
            <w:tcW w:w="0" w:type="auto"/>
          </w:tcPr>
          <w:p w14:paraId="4344DBC9"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88</w:t>
            </w:r>
          </w:p>
        </w:tc>
        <w:tc>
          <w:tcPr>
            <w:tcW w:w="0" w:type="auto"/>
          </w:tcPr>
          <w:p w14:paraId="43B097E5"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55%</w:t>
            </w:r>
          </w:p>
        </w:tc>
        <w:tc>
          <w:tcPr>
            <w:tcW w:w="0" w:type="auto"/>
          </w:tcPr>
          <w:p w14:paraId="68BFF8EA"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70</w:t>
            </w:r>
          </w:p>
        </w:tc>
        <w:tc>
          <w:tcPr>
            <w:tcW w:w="0" w:type="auto"/>
          </w:tcPr>
          <w:p w14:paraId="27BD2936"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35%</w:t>
            </w:r>
          </w:p>
        </w:tc>
      </w:tr>
      <w:tr w:rsidR="0041215D" w:rsidRPr="0041215D" w14:paraId="3D31F894" w14:textId="77777777" w:rsidTr="0041215D">
        <w:trPr>
          <w:jc w:val="center"/>
        </w:trPr>
        <w:tc>
          <w:tcPr>
            <w:tcW w:w="0" w:type="auto"/>
          </w:tcPr>
          <w:p w14:paraId="7E10C645"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T+6</w:t>
            </w:r>
          </w:p>
        </w:tc>
        <w:tc>
          <w:tcPr>
            <w:tcW w:w="0" w:type="auto"/>
          </w:tcPr>
          <w:p w14:paraId="649339A7"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75</w:t>
            </w:r>
          </w:p>
        </w:tc>
        <w:tc>
          <w:tcPr>
            <w:tcW w:w="0" w:type="auto"/>
          </w:tcPr>
          <w:p w14:paraId="7F17ADC8"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30%</w:t>
            </w:r>
          </w:p>
        </w:tc>
        <w:tc>
          <w:tcPr>
            <w:tcW w:w="0" w:type="auto"/>
          </w:tcPr>
          <w:p w14:paraId="4A72C3FF"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60</w:t>
            </w:r>
          </w:p>
        </w:tc>
        <w:tc>
          <w:tcPr>
            <w:tcW w:w="0" w:type="auto"/>
          </w:tcPr>
          <w:p w14:paraId="2FD5EEAC"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25%</w:t>
            </w:r>
          </w:p>
        </w:tc>
      </w:tr>
    </w:tbl>
    <w:p w14:paraId="411A132B" w14:textId="77777777" w:rsidR="0041215D" w:rsidRPr="0041215D" w:rsidRDefault="0041215D" w:rsidP="0041215D">
      <w:pPr>
        <w:pStyle w:val="BodyText"/>
        <w:jc w:val="both"/>
        <w:rPr>
          <w:rFonts w:eastAsiaTheme="minorHAnsi"/>
          <w:color w:val="1F497D"/>
          <w:sz w:val="20"/>
          <w:szCs w:val="20"/>
          <w:lang w:val="en-IN"/>
        </w:rPr>
      </w:pPr>
      <w:r w:rsidRPr="0041215D">
        <w:rPr>
          <w:rFonts w:eastAsiaTheme="minorHAnsi"/>
          <w:color w:val="1F497D"/>
          <w:sz w:val="20"/>
          <w:szCs w:val="20"/>
          <w:lang w:val="en-IN"/>
        </w:rPr>
        <w:t>Index scaled 0-100, where 100 represents extreme fear/herding. Volatility is annualized realized volatility.</w:t>
      </w:r>
    </w:p>
    <w:p w14:paraId="205E2473" w14:textId="77777777" w:rsidR="0041215D" w:rsidRPr="0041215D" w:rsidRDefault="0041215D" w:rsidP="0041215D">
      <w:pPr>
        <w:pStyle w:val="BodyText"/>
        <w:jc w:val="center"/>
        <w:rPr>
          <w:rFonts w:eastAsiaTheme="minorHAnsi"/>
          <w:color w:val="1F497D"/>
          <w:sz w:val="20"/>
          <w:szCs w:val="20"/>
          <w:lang w:val="en-IN"/>
        </w:rPr>
      </w:pPr>
      <w:r w:rsidRPr="0041215D">
        <w:rPr>
          <w:rFonts w:eastAsiaTheme="minorHAnsi"/>
          <w:color w:val="1F497D"/>
          <w:sz w:val="20"/>
          <w:szCs w:val="20"/>
          <w:lang w:val="en-IN"/>
        </w:rPr>
        <w:lastRenderedPageBreak/>
        <w:drawing>
          <wp:inline distT="0" distB="0" distL="0" distR="0" wp14:anchorId="003377F9" wp14:editId="518E2947">
            <wp:extent cx="5731510" cy="3207148"/>
            <wp:effectExtent l="0" t="0" r="2540" b="0"/>
            <wp:docPr id="6250220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022008" name="Picture 625022008"/>
                    <pic:cNvPicPr/>
                  </pic:nvPicPr>
                  <pic:blipFill rotWithShape="1">
                    <a:blip r:embed="rId23" cstate="print">
                      <a:extLst>
                        <a:ext uri="{BEBA8EAE-BF5A-486C-A8C5-ECC9F3942E4B}">
                          <a14:imgProps xmlns:a14="http://schemas.microsoft.com/office/drawing/2010/main">
                            <a14:imgLayer r:embed="rId24">
                              <a14:imgEffect>
                                <a14:saturation sat="400000"/>
                              </a14:imgEffect>
                            </a14:imgLayer>
                          </a14:imgProps>
                        </a:ext>
                        <a:ext uri="{28A0092B-C50C-407E-A947-70E740481C1C}">
                          <a14:useLocalDpi xmlns:a14="http://schemas.microsoft.com/office/drawing/2010/main" val="0"/>
                        </a:ext>
                      </a:extLst>
                    </a:blip>
                    <a:srcRect t="6746"/>
                    <a:stretch>
                      <a:fillRect/>
                    </a:stretch>
                  </pic:blipFill>
                  <pic:spPr bwMode="auto">
                    <a:xfrm>
                      <a:off x="0" y="0"/>
                      <a:ext cx="5731510" cy="3207148"/>
                    </a:xfrm>
                    <a:prstGeom prst="rect">
                      <a:avLst/>
                    </a:prstGeom>
                    <a:ln>
                      <a:noFill/>
                    </a:ln>
                    <a:extLst>
                      <a:ext uri="{53640926-AAD7-44D8-BBD7-CCE9431645EC}">
                        <a14:shadowObscured xmlns:a14="http://schemas.microsoft.com/office/drawing/2010/main"/>
                      </a:ext>
                    </a:extLst>
                  </pic:spPr>
                </pic:pic>
              </a:graphicData>
            </a:graphic>
          </wp:inline>
        </w:drawing>
      </w:r>
    </w:p>
    <w:p w14:paraId="183F3C8B" w14:textId="77777777" w:rsidR="0041215D" w:rsidRDefault="0041215D" w:rsidP="0041215D">
      <w:pPr>
        <w:pStyle w:val="BodyText"/>
        <w:jc w:val="both"/>
        <w:rPr>
          <w:rFonts w:eastAsiaTheme="minorHAnsi"/>
          <w:color w:val="1F497D"/>
          <w:sz w:val="20"/>
          <w:szCs w:val="20"/>
          <w:lang w:val="en-IN"/>
        </w:rPr>
      </w:pPr>
    </w:p>
    <w:p w14:paraId="56A922B9" w14:textId="10293768" w:rsidR="0041215D" w:rsidRPr="0041215D" w:rsidRDefault="0041215D" w:rsidP="0041215D">
      <w:pPr>
        <w:pStyle w:val="BodyText"/>
        <w:jc w:val="center"/>
        <w:rPr>
          <w:rFonts w:eastAsiaTheme="minorHAnsi"/>
          <w:b/>
          <w:bCs/>
          <w:color w:val="1F497D"/>
          <w:sz w:val="20"/>
          <w:szCs w:val="20"/>
          <w:lang w:val="en-IN"/>
        </w:rPr>
      </w:pPr>
      <w:r w:rsidRPr="0041215D">
        <w:rPr>
          <w:rFonts w:eastAsiaTheme="minorHAnsi"/>
          <w:b/>
          <w:bCs/>
          <w:color w:val="1F497D"/>
          <w:sz w:val="20"/>
          <w:szCs w:val="20"/>
          <w:lang w:val="en-IN"/>
        </w:rPr>
        <w:t>Figure 4 — "Sentiment index and realized volatility around crises." Caption: "Composite sentiment index (0–100) and S&amp;P 500 realized volatility for the GFC and COVID-19 around event windows (T-6 to T+6)."</w:t>
      </w:r>
    </w:p>
    <w:p w14:paraId="6DCF43F4" w14:textId="77777777" w:rsidR="0041215D" w:rsidRDefault="0041215D" w:rsidP="0041215D">
      <w:pPr>
        <w:pStyle w:val="BodyText"/>
        <w:jc w:val="both"/>
        <w:rPr>
          <w:rFonts w:eastAsiaTheme="minorHAnsi"/>
          <w:color w:val="1F497D"/>
          <w:sz w:val="20"/>
          <w:szCs w:val="20"/>
          <w:lang w:val="en-IN"/>
        </w:rPr>
      </w:pPr>
    </w:p>
    <w:p w14:paraId="31A5EFF8" w14:textId="4D0256F8" w:rsidR="0041215D" w:rsidRPr="0041215D" w:rsidRDefault="0041215D" w:rsidP="0041215D">
      <w:pPr>
        <w:pStyle w:val="BodyText"/>
        <w:jc w:val="both"/>
        <w:rPr>
          <w:rFonts w:eastAsiaTheme="minorHAnsi"/>
          <w:color w:val="1F497D"/>
          <w:sz w:val="20"/>
          <w:szCs w:val="20"/>
          <w:lang w:val="en-IN"/>
        </w:rPr>
      </w:pPr>
      <w:r w:rsidRPr="0041215D">
        <w:rPr>
          <w:rFonts w:eastAsiaTheme="minorHAnsi"/>
          <w:color w:val="1F497D"/>
          <w:sz w:val="20"/>
          <w:szCs w:val="20"/>
          <w:lang w:val="en-IN"/>
        </w:rPr>
        <w:t>The data shows a powerful correlation between the behavioral sentiment index and market volatility. The near-perfect synchronicity of the spikes at time T (Lehman Collapse, WHO Pandemic Declaration) strongly supports the hypothesis that behavioral factors are not merely correlated with but are drivers of market instability.</w:t>
      </w:r>
    </w:p>
    <w:p w14:paraId="0EFAEFA7" w14:textId="77777777" w:rsidR="0041215D" w:rsidRDefault="0041215D" w:rsidP="0041215D">
      <w:pPr>
        <w:pStyle w:val="BodyText"/>
        <w:jc w:val="both"/>
        <w:rPr>
          <w:rFonts w:eastAsiaTheme="minorHAnsi"/>
          <w:color w:val="1F497D"/>
          <w:sz w:val="20"/>
          <w:szCs w:val="20"/>
          <w:lang w:val="en-IN"/>
        </w:rPr>
      </w:pPr>
    </w:p>
    <w:p w14:paraId="45F3D1FD" w14:textId="436EDC01" w:rsidR="0041215D" w:rsidRPr="0041215D" w:rsidRDefault="0041215D" w:rsidP="0041215D">
      <w:pPr>
        <w:pStyle w:val="BodyText"/>
        <w:jc w:val="both"/>
        <w:rPr>
          <w:rFonts w:eastAsiaTheme="minorHAnsi"/>
          <w:b/>
          <w:bCs/>
          <w:color w:val="1F497D"/>
          <w:sz w:val="20"/>
          <w:szCs w:val="20"/>
          <w:lang w:val="en-IN"/>
        </w:rPr>
      </w:pPr>
      <w:r w:rsidRPr="0041215D">
        <w:rPr>
          <w:rFonts w:eastAsiaTheme="minorHAnsi"/>
          <w:b/>
          <w:bCs/>
          <w:color w:val="1F497D"/>
          <w:sz w:val="20"/>
          <w:szCs w:val="20"/>
          <w:lang w:val="en-IN"/>
        </w:rPr>
        <w:t>5.3 Sectoral Analysis of Bias Amplification</w:t>
      </w:r>
    </w:p>
    <w:p w14:paraId="35CBA908" w14:textId="77777777" w:rsidR="0041215D" w:rsidRPr="0041215D" w:rsidRDefault="0041215D" w:rsidP="0041215D">
      <w:pPr>
        <w:pStyle w:val="BodyText"/>
        <w:jc w:val="both"/>
        <w:rPr>
          <w:rFonts w:eastAsiaTheme="minorHAnsi"/>
          <w:color w:val="1F497D"/>
          <w:sz w:val="20"/>
          <w:szCs w:val="20"/>
          <w:lang w:val="en-IN"/>
        </w:rPr>
      </w:pPr>
      <w:r w:rsidRPr="0041215D">
        <w:rPr>
          <w:rFonts w:eastAsiaTheme="minorHAnsi"/>
          <w:color w:val="1F497D"/>
          <w:sz w:val="20"/>
          <w:szCs w:val="20"/>
          <w:lang w:val="en-IN"/>
        </w:rPr>
        <w:t>Not all sectors are affected equally by behavioral biases during a crisis. We analyze the 2020 crash to see how overreaction and herding impacted different industries.</w:t>
      </w:r>
    </w:p>
    <w:p w14:paraId="68AD6CAC" w14:textId="77777777" w:rsidR="0041215D" w:rsidRDefault="0041215D" w:rsidP="0041215D">
      <w:pPr>
        <w:pStyle w:val="BodyText"/>
        <w:jc w:val="both"/>
        <w:rPr>
          <w:rFonts w:eastAsiaTheme="minorHAnsi"/>
          <w:color w:val="1F497D"/>
          <w:sz w:val="20"/>
          <w:szCs w:val="20"/>
          <w:lang w:val="en-IN"/>
        </w:rPr>
      </w:pPr>
    </w:p>
    <w:p w14:paraId="612074BE" w14:textId="4BC8929D" w:rsidR="0041215D" w:rsidRPr="0041215D" w:rsidRDefault="0041215D" w:rsidP="0041215D">
      <w:pPr>
        <w:pStyle w:val="BodyText"/>
        <w:jc w:val="center"/>
        <w:rPr>
          <w:rFonts w:eastAsiaTheme="minorHAnsi"/>
          <w:b/>
          <w:bCs/>
          <w:color w:val="1F497D"/>
          <w:sz w:val="20"/>
          <w:szCs w:val="20"/>
          <w:lang w:val="en-IN"/>
        </w:rPr>
      </w:pPr>
      <w:r w:rsidRPr="0041215D">
        <w:rPr>
          <w:rFonts w:eastAsiaTheme="minorHAnsi"/>
          <w:b/>
          <w:bCs/>
          <w:color w:val="1F497D"/>
          <w:sz w:val="20"/>
          <w:szCs w:val="20"/>
          <w:lang w:val="en-IN"/>
        </w:rPr>
        <w:t>Table 5: Sectoral Returns and Behavioral Sensitivity (2020 Crash vs. Recovery)</w:t>
      </w:r>
    </w:p>
    <w:tbl>
      <w:tblPr>
        <w:tblStyle w:val="Table"/>
        <w:tblW w:w="0" w:type="auto"/>
        <w:jc w:val="center"/>
        <w:tblLook w:val="0020" w:firstRow="1" w:lastRow="0" w:firstColumn="0" w:lastColumn="0" w:noHBand="0" w:noVBand="0"/>
      </w:tblPr>
      <w:tblGrid>
        <w:gridCol w:w="2177"/>
        <w:gridCol w:w="1594"/>
        <w:gridCol w:w="1572"/>
        <w:gridCol w:w="1566"/>
        <w:gridCol w:w="2105"/>
      </w:tblGrid>
      <w:tr w:rsidR="0041215D" w:rsidRPr="0041215D" w14:paraId="0BE25A15" w14:textId="77777777" w:rsidTr="0041215D">
        <w:trPr>
          <w:cnfStyle w:val="100000000000" w:firstRow="1" w:lastRow="0" w:firstColumn="0" w:lastColumn="0" w:oddVBand="0" w:evenVBand="0" w:oddHBand="0" w:evenHBand="0" w:firstRowFirstColumn="0" w:firstRowLastColumn="0" w:lastRowFirstColumn="0" w:lastRowLastColumn="0"/>
          <w:tblHeader/>
          <w:jc w:val="center"/>
        </w:trPr>
        <w:tc>
          <w:tcPr>
            <w:tcW w:w="0" w:type="auto"/>
          </w:tcPr>
          <w:p w14:paraId="352B78E3"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Sector</w:t>
            </w:r>
          </w:p>
        </w:tc>
        <w:tc>
          <w:tcPr>
            <w:tcW w:w="0" w:type="auto"/>
          </w:tcPr>
          <w:p w14:paraId="5FC96A77"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Return Mar 2020</w:t>
            </w:r>
          </w:p>
        </w:tc>
        <w:tc>
          <w:tcPr>
            <w:tcW w:w="0" w:type="auto"/>
          </w:tcPr>
          <w:p w14:paraId="4D063471"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Return Apr 2020</w:t>
            </w:r>
          </w:p>
        </w:tc>
        <w:tc>
          <w:tcPr>
            <w:tcW w:w="0" w:type="auto"/>
          </w:tcPr>
          <w:p w14:paraId="0216AB65"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Beta (Pre-Crisis)</w:t>
            </w:r>
          </w:p>
        </w:tc>
        <w:tc>
          <w:tcPr>
            <w:tcW w:w="0" w:type="auto"/>
          </w:tcPr>
          <w:p w14:paraId="3AB9FB16"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Retail Attention Score*</w:t>
            </w:r>
          </w:p>
        </w:tc>
      </w:tr>
      <w:tr w:rsidR="0041215D" w:rsidRPr="0041215D" w14:paraId="02D22824" w14:textId="77777777" w:rsidTr="0041215D">
        <w:trPr>
          <w:jc w:val="center"/>
        </w:trPr>
        <w:tc>
          <w:tcPr>
            <w:tcW w:w="0" w:type="auto"/>
          </w:tcPr>
          <w:p w14:paraId="05A68F01"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Energy</w:t>
            </w:r>
          </w:p>
        </w:tc>
        <w:tc>
          <w:tcPr>
            <w:tcW w:w="0" w:type="auto"/>
          </w:tcPr>
          <w:p w14:paraId="61C8D5C1"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-51%</w:t>
            </w:r>
          </w:p>
        </w:tc>
        <w:tc>
          <w:tcPr>
            <w:tcW w:w="0" w:type="auto"/>
          </w:tcPr>
          <w:p w14:paraId="70BD3663"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+31%</w:t>
            </w:r>
          </w:p>
        </w:tc>
        <w:tc>
          <w:tcPr>
            <w:tcW w:w="0" w:type="auto"/>
          </w:tcPr>
          <w:p w14:paraId="25DC55AC"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1.3</w:t>
            </w:r>
          </w:p>
        </w:tc>
        <w:tc>
          <w:tcPr>
            <w:tcW w:w="0" w:type="auto"/>
          </w:tcPr>
          <w:p w14:paraId="10CF7BEF"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Low</w:t>
            </w:r>
          </w:p>
        </w:tc>
      </w:tr>
      <w:tr w:rsidR="0041215D" w:rsidRPr="0041215D" w14:paraId="1079F201" w14:textId="77777777" w:rsidTr="0041215D">
        <w:trPr>
          <w:jc w:val="center"/>
        </w:trPr>
        <w:tc>
          <w:tcPr>
            <w:tcW w:w="0" w:type="auto"/>
          </w:tcPr>
          <w:p w14:paraId="535A95EA"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Financials</w:t>
            </w:r>
          </w:p>
        </w:tc>
        <w:tc>
          <w:tcPr>
            <w:tcW w:w="0" w:type="auto"/>
          </w:tcPr>
          <w:p w14:paraId="55360BA0"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-42%</w:t>
            </w:r>
          </w:p>
        </w:tc>
        <w:tc>
          <w:tcPr>
            <w:tcW w:w="0" w:type="auto"/>
          </w:tcPr>
          <w:p w14:paraId="1568CCE6"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+20%</w:t>
            </w:r>
          </w:p>
        </w:tc>
        <w:tc>
          <w:tcPr>
            <w:tcW w:w="0" w:type="auto"/>
          </w:tcPr>
          <w:p w14:paraId="708949E0"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1.2</w:t>
            </w:r>
          </w:p>
        </w:tc>
        <w:tc>
          <w:tcPr>
            <w:tcW w:w="0" w:type="auto"/>
          </w:tcPr>
          <w:p w14:paraId="5DE40AAA"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Low</w:t>
            </w:r>
          </w:p>
        </w:tc>
      </w:tr>
      <w:tr w:rsidR="0041215D" w:rsidRPr="0041215D" w14:paraId="4FE42CA5" w14:textId="77777777" w:rsidTr="0041215D">
        <w:trPr>
          <w:jc w:val="center"/>
        </w:trPr>
        <w:tc>
          <w:tcPr>
            <w:tcW w:w="0" w:type="auto"/>
          </w:tcPr>
          <w:p w14:paraId="3145C676"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Technology</w:t>
            </w:r>
          </w:p>
        </w:tc>
        <w:tc>
          <w:tcPr>
            <w:tcW w:w="0" w:type="auto"/>
          </w:tcPr>
          <w:p w14:paraId="5CDB7C40"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-28%</w:t>
            </w:r>
          </w:p>
        </w:tc>
        <w:tc>
          <w:tcPr>
            <w:tcW w:w="0" w:type="auto"/>
          </w:tcPr>
          <w:p w14:paraId="6B3A85DA"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+45%</w:t>
            </w:r>
          </w:p>
        </w:tc>
        <w:tc>
          <w:tcPr>
            <w:tcW w:w="0" w:type="auto"/>
          </w:tcPr>
          <w:p w14:paraId="3F2DFDE6"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1.1</w:t>
            </w:r>
          </w:p>
        </w:tc>
        <w:tc>
          <w:tcPr>
            <w:tcW w:w="0" w:type="auto"/>
          </w:tcPr>
          <w:p w14:paraId="62722437"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High</w:t>
            </w:r>
          </w:p>
        </w:tc>
      </w:tr>
      <w:tr w:rsidR="0041215D" w:rsidRPr="0041215D" w14:paraId="42B43174" w14:textId="77777777" w:rsidTr="0041215D">
        <w:trPr>
          <w:jc w:val="center"/>
        </w:trPr>
        <w:tc>
          <w:tcPr>
            <w:tcW w:w="0" w:type="auto"/>
          </w:tcPr>
          <w:p w14:paraId="7F918789"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Consumer Discretionary</w:t>
            </w:r>
          </w:p>
        </w:tc>
        <w:tc>
          <w:tcPr>
            <w:tcW w:w="0" w:type="auto"/>
          </w:tcPr>
          <w:p w14:paraId="0D098B8F"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-40%</w:t>
            </w:r>
          </w:p>
        </w:tc>
        <w:tc>
          <w:tcPr>
            <w:tcW w:w="0" w:type="auto"/>
          </w:tcPr>
          <w:p w14:paraId="423B98EF"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+38%</w:t>
            </w:r>
          </w:p>
        </w:tc>
        <w:tc>
          <w:tcPr>
            <w:tcW w:w="0" w:type="auto"/>
          </w:tcPr>
          <w:p w14:paraId="0366D435"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1.0</w:t>
            </w:r>
          </w:p>
        </w:tc>
        <w:tc>
          <w:tcPr>
            <w:tcW w:w="0" w:type="auto"/>
          </w:tcPr>
          <w:p w14:paraId="1AE79E64"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High</w:t>
            </w:r>
          </w:p>
        </w:tc>
      </w:tr>
      <w:tr w:rsidR="0041215D" w:rsidRPr="0041215D" w14:paraId="660F825B" w14:textId="77777777" w:rsidTr="0041215D">
        <w:trPr>
          <w:jc w:val="center"/>
        </w:trPr>
        <w:tc>
          <w:tcPr>
            <w:tcW w:w="0" w:type="auto"/>
          </w:tcPr>
          <w:p w14:paraId="15DA01CA"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Utilities</w:t>
            </w:r>
          </w:p>
        </w:tc>
        <w:tc>
          <w:tcPr>
            <w:tcW w:w="0" w:type="auto"/>
          </w:tcPr>
          <w:p w14:paraId="67836345"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-18%</w:t>
            </w:r>
          </w:p>
        </w:tc>
        <w:tc>
          <w:tcPr>
            <w:tcW w:w="0" w:type="auto"/>
          </w:tcPr>
          <w:p w14:paraId="36843372"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+12%</w:t>
            </w:r>
          </w:p>
        </w:tc>
        <w:tc>
          <w:tcPr>
            <w:tcW w:w="0" w:type="auto"/>
          </w:tcPr>
          <w:p w14:paraId="08B66D0A"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0.5</w:t>
            </w:r>
          </w:p>
        </w:tc>
        <w:tc>
          <w:tcPr>
            <w:tcW w:w="0" w:type="auto"/>
          </w:tcPr>
          <w:p w14:paraId="5981DD31"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Very Low</w:t>
            </w:r>
          </w:p>
        </w:tc>
      </w:tr>
    </w:tbl>
    <w:p w14:paraId="7C08C9ED" w14:textId="77777777" w:rsidR="0041215D" w:rsidRDefault="0041215D" w:rsidP="0041215D">
      <w:pPr>
        <w:pStyle w:val="BodyText"/>
        <w:jc w:val="both"/>
        <w:rPr>
          <w:rFonts w:eastAsiaTheme="minorHAnsi"/>
          <w:color w:val="1F497D"/>
          <w:sz w:val="20"/>
          <w:szCs w:val="20"/>
          <w:lang w:val="en-IN"/>
        </w:rPr>
      </w:pPr>
      <w:r w:rsidRPr="0041215D">
        <w:rPr>
          <w:rFonts w:eastAsiaTheme="minorHAnsi"/>
          <w:color w:val="1F497D"/>
          <w:sz w:val="20"/>
          <w:szCs w:val="20"/>
          <w:lang w:val="en-IN"/>
        </w:rPr>
        <w:t>Retail Attention Score based on social media mentions and trading volume on platforms like Robinhood [15].</w:t>
      </w:r>
    </w:p>
    <w:p w14:paraId="5DA2480A" w14:textId="77777777" w:rsidR="0041215D" w:rsidRPr="0041215D" w:rsidRDefault="0041215D" w:rsidP="0041215D">
      <w:pPr>
        <w:pStyle w:val="BodyText"/>
        <w:jc w:val="both"/>
        <w:rPr>
          <w:rFonts w:eastAsiaTheme="minorHAnsi"/>
          <w:color w:val="1F497D"/>
          <w:sz w:val="20"/>
          <w:szCs w:val="20"/>
          <w:lang w:val="en-IN"/>
        </w:rPr>
      </w:pPr>
    </w:p>
    <w:p w14:paraId="78378660" w14:textId="77777777" w:rsidR="0041215D" w:rsidRPr="0041215D" w:rsidRDefault="0041215D" w:rsidP="0041215D">
      <w:pPr>
        <w:pStyle w:val="BodyText"/>
        <w:jc w:val="center"/>
        <w:rPr>
          <w:rFonts w:eastAsiaTheme="minorHAnsi"/>
          <w:color w:val="1F497D"/>
          <w:sz w:val="20"/>
          <w:szCs w:val="20"/>
          <w:lang w:val="en-IN"/>
        </w:rPr>
      </w:pPr>
      <w:r w:rsidRPr="0041215D">
        <w:rPr>
          <w:rFonts w:eastAsiaTheme="minorHAnsi"/>
          <w:color w:val="1F497D"/>
          <w:sz w:val="20"/>
          <w:szCs w:val="20"/>
          <w:lang w:val="en-IN"/>
        </w:rPr>
        <w:drawing>
          <wp:inline distT="0" distB="0" distL="0" distR="0" wp14:anchorId="55D26DDF" wp14:editId="400A94C0">
            <wp:extent cx="4992184" cy="2282121"/>
            <wp:effectExtent l="0" t="0" r="0" b="4445"/>
            <wp:docPr id="14991595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159523" name="Picture 1499159523"/>
                    <pic:cNvPicPr/>
                  </pic:nvPicPr>
                  <pic:blipFill rotWithShape="1">
                    <a:blip r:embed="rId25" cstate="print">
                      <a:extLst>
                        <a:ext uri="{BEBA8EAE-BF5A-486C-A8C5-ECC9F3942E4B}">
                          <a14:imgProps xmlns:a14="http://schemas.microsoft.com/office/drawing/2010/main">
                            <a14:imgLayer r:embed="rId26">
                              <a14:imgEffect>
                                <a14:saturation sat="400000"/>
                              </a14:imgEffect>
                            </a14:imgLayer>
                          </a14:imgProps>
                        </a:ext>
                        <a:ext uri="{28A0092B-C50C-407E-A947-70E740481C1C}">
                          <a14:useLocalDpi xmlns:a14="http://schemas.microsoft.com/office/drawing/2010/main" val="0"/>
                        </a:ext>
                      </a:extLst>
                    </a:blip>
                    <a:srcRect t="8572"/>
                    <a:stretch>
                      <a:fillRect/>
                    </a:stretch>
                  </pic:blipFill>
                  <pic:spPr bwMode="auto">
                    <a:xfrm>
                      <a:off x="0" y="0"/>
                      <a:ext cx="5023570" cy="2296469"/>
                    </a:xfrm>
                    <a:prstGeom prst="rect">
                      <a:avLst/>
                    </a:prstGeom>
                    <a:ln>
                      <a:noFill/>
                    </a:ln>
                    <a:extLst>
                      <a:ext uri="{53640926-AAD7-44D8-BBD7-CCE9431645EC}">
                        <a14:shadowObscured xmlns:a14="http://schemas.microsoft.com/office/drawing/2010/main"/>
                      </a:ext>
                    </a:extLst>
                  </pic:spPr>
                </pic:pic>
              </a:graphicData>
            </a:graphic>
          </wp:inline>
        </w:drawing>
      </w:r>
    </w:p>
    <w:p w14:paraId="052B05B1" w14:textId="77777777" w:rsidR="0041215D" w:rsidRPr="0041215D" w:rsidRDefault="0041215D" w:rsidP="0041215D">
      <w:pPr>
        <w:pStyle w:val="BodyText"/>
        <w:jc w:val="center"/>
        <w:rPr>
          <w:rFonts w:eastAsiaTheme="minorHAnsi"/>
          <w:b/>
          <w:bCs/>
          <w:color w:val="1F497D"/>
          <w:sz w:val="20"/>
          <w:szCs w:val="20"/>
          <w:lang w:val="en-IN"/>
        </w:rPr>
      </w:pPr>
      <w:r w:rsidRPr="0041215D">
        <w:rPr>
          <w:rFonts w:eastAsiaTheme="minorHAnsi"/>
          <w:b/>
          <w:bCs/>
          <w:color w:val="1F497D"/>
          <w:sz w:val="20"/>
          <w:szCs w:val="20"/>
          <w:lang w:val="en-IN"/>
        </w:rPr>
        <w:t>Figure 5 — "Sectoral returns: Crash vs Early Recovery (Mar–Apr 2020)." Caption: "Sectoral returns for Mar 2020 (crash) and Apr 2020 (early recovery), highlighting attention-driven differences in crash depth and recovery strength."</w:t>
      </w:r>
    </w:p>
    <w:p w14:paraId="5E8611AB" w14:textId="77777777" w:rsidR="0041215D" w:rsidRPr="0041215D" w:rsidRDefault="0041215D" w:rsidP="0041215D">
      <w:pPr>
        <w:pStyle w:val="BodyText"/>
        <w:jc w:val="both"/>
        <w:rPr>
          <w:rFonts w:eastAsiaTheme="minorHAnsi"/>
          <w:color w:val="1F497D"/>
          <w:sz w:val="20"/>
          <w:szCs w:val="20"/>
          <w:lang w:val="en-IN"/>
        </w:rPr>
      </w:pPr>
      <w:r w:rsidRPr="0041215D">
        <w:rPr>
          <w:rFonts w:eastAsiaTheme="minorHAnsi"/>
          <w:color w:val="1F497D"/>
          <w:sz w:val="20"/>
          <w:szCs w:val="20"/>
          <w:lang w:val="en-IN"/>
        </w:rPr>
        <w:lastRenderedPageBreak/>
        <w:t>Interpretation: The "High Attention" sectors (Technology, Consumer Discretionary) experienced a shallower crash and a much sharper recovery. This is consistent with models of attention-driven herding [15] and overconfidence; retail investors, concentrated in these familiar sectors, collectively provided a buying floor and then momentum during the recovery, amplifying volatility in both directions. The high-beta Energy sector fell the most but had a tepid recovery, lacking the same behavioral bid.</w:t>
      </w:r>
    </w:p>
    <w:p w14:paraId="606812BD" w14:textId="77777777" w:rsidR="0041215D" w:rsidRDefault="0041215D" w:rsidP="0041215D">
      <w:pPr>
        <w:pStyle w:val="BodyText"/>
        <w:jc w:val="both"/>
        <w:rPr>
          <w:rFonts w:eastAsiaTheme="minorHAnsi"/>
          <w:color w:val="1F497D"/>
          <w:sz w:val="20"/>
          <w:szCs w:val="20"/>
          <w:lang w:val="en-IN"/>
        </w:rPr>
      </w:pPr>
    </w:p>
    <w:p w14:paraId="5860BA11" w14:textId="2A88E28D" w:rsidR="0041215D" w:rsidRPr="0041215D" w:rsidRDefault="0041215D" w:rsidP="0041215D">
      <w:pPr>
        <w:pStyle w:val="BodyText"/>
        <w:jc w:val="both"/>
        <w:rPr>
          <w:rFonts w:eastAsiaTheme="minorHAnsi"/>
          <w:b/>
          <w:bCs/>
          <w:color w:val="1F497D"/>
          <w:sz w:val="20"/>
          <w:szCs w:val="20"/>
          <w:lang w:val="en-IN"/>
        </w:rPr>
      </w:pPr>
      <w:r w:rsidRPr="0041215D">
        <w:rPr>
          <w:rFonts w:eastAsiaTheme="minorHAnsi"/>
          <w:b/>
          <w:bCs/>
          <w:color w:val="1F497D"/>
          <w:sz w:val="20"/>
          <w:szCs w:val="20"/>
          <w:lang w:val="en-IN"/>
        </w:rPr>
        <w:t>5.4 The Role of Algorithmic Trading in Amplifying Biases</w:t>
      </w:r>
    </w:p>
    <w:p w14:paraId="11CEFC10" w14:textId="77777777" w:rsidR="0041215D" w:rsidRPr="0041215D" w:rsidRDefault="0041215D" w:rsidP="0041215D">
      <w:pPr>
        <w:pStyle w:val="BodyText"/>
        <w:jc w:val="both"/>
        <w:rPr>
          <w:rFonts w:eastAsiaTheme="minorHAnsi"/>
          <w:color w:val="1F497D"/>
          <w:sz w:val="20"/>
          <w:szCs w:val="20"/>
          <w:lang w:val="en-IN"/>
        </w:rPr>
      </w:pPr>
      <w:r w:rsidRPr="0041215D">
        <w:rPr>
          <w:rFonts w:eastAsiaTheme="minorHAnsi"/>
          <w:color w:val="1F497D"/>
          <w:sz w:val="20"/>
          <w:szCs w:val="20"/>
          <w:lang w:val="en-IN"/>
        </w:rPr>
        <w:t>Modern crises are defined by the interaction of human and algorithmic behavior. Algorithms can both mitigate and exacerbate biases.</w:t>
      </w:r>
    </w:p>
    <w:p w14:paraId="3095AFD5" w14:textId="77777777" w:rsidR="0041215D" w:rsidRDefault="0041215D" w:rsidP="0041215D">
      <w:pPr>
        <w:pStyle w:val="BodyText"/>
        <w:jc w:val="both"/>
        <w:rPr>
          <w:rFonts w:eastAsiaTheme="minorHAnsi"/>
          <w:color w:val="1F497D"/>
          <w:sz w:val="20"/>
          <w:szCs w:val="20"/>
          <w:lang w:val="en-IN"/>
        </w:rPr>
      </w:pPr>
    </w:p>
    <w:p w14:paraId="4CA8BC24" w14:textId="6213E71A" w:rsidR="0041215D" w:rsidRPr="0041215D" w:rsidRDefault="0041215D" w:rsidP="0041215D">
      <w:pPr>
        <w:pStyle w:val="BodyText"/>
        <w:jc w:val="center"/>
        <w:rPr>
          <w:rFonts w:eastAsiaTheme="minorHAnsi"/>
          <w:b/>
          <w:bCs/>
          <w:color w:val="1F497D"/>
          <w:sz w:val="20"/>
          <w:szCs w:val="20"/>
          <w:lang w:val="en-IN"/>
        </w:rPr>
      </w:pPr>
      <w:r w:rsidRPr="0041215D">
        <w:rPr>
          <w:rFonts w:eastAsiaTheme="minorHAnsi"/>
          <w:b/>
          <w:bCs/>
          <w:color w:val="1F497D"/>
          <w:sz w:val="20"/>
          <w:szCs w:val="20"/>
          <w:lang w:val="en-IN"/>
        </w:rPr>
        <w:t>Table 6: Algorithmic Trading (AT) Impact on Volatility and Liquidity</w:t>
      </w:r>
    </w:p>
    <w:tbl>
      <w:tblPr>
        <w:tblStyle w:val="Table"/>
        <w:tblW w:w="0" w:type="auto"/>
        <w:jc w:val="center"/>
        <w:tblLook w:val="0020" w:firstRow="1" w:lastRow="0" w:firstColumn="0" w:lastColumn="0" w:noHBand="0" w:noVBand="0"/>
      </w:tblPr>
      <w:tblGrid>
        <w:gridCol w:w="3034"/>
        <w:gridCol w:w="1756"/>
        <w:gridCol w:w="2182"/>
        <w:gridCol w:w="2690"/>
      </w:tblGrid>
      <w:tr w:rsidR="0041215D" w:rsidRPr="0041215D" w14:paraId="1528F026" w14:textId="77777777" w:rsidTr="0041215D">
        <w:trPr>
          <w:cnfStyle w:val="100000000000" w:firstRow="1" w:lastRow="0" w:firstColumn="0" w:lastColumn="0" w:oddVBand="0" w:evenVBand="0" w:oddHBand="0" w:evenHBand="0" w:firstRowFirstColumn="0" w:firstRowLastColumn="0" w:lastRowFirstColumn="0" w:lastRowLastColumn="0"/>
          <w:trHeight w:val="20"/>
          <w:tblHeader/>
          <w:jc w:val="center"/>
        </w:trPr>
        <w:tc>
          <w:tcPr>
            <w:tcW w:w="0" w:type="auto"/>
          </w:tcPr>
          <w:p w14:paraId="0046921D"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Metric</w:t>
            </w:r>
          </w:p>
        </w:tc>
        <w:tc>
          <w:tcPr>
            <w:tcW w:w="0" w:type="auto"/>
          </w:tcPr>
          <w:p w14:paraId="2E601EA1"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Pre-GFC (Low AT)</w:t>
            </w:r>
          </w:p>
        </w:tc>
        <w:tc>
          <w:tcPr>
            <w:tcW w:w="0" w:type="auto"/>
          </w:tcPr>
          <w:p w14:paraId="3883D3E4"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2008 GFC (Medium AT)</w:t>
            </w:r>
          </w:p>
        </w:tc>
        <w:tc>
          <w:tcPr>
            <w:tcW w:w="0" w:type="auto"/>
          </w:tcPr>
          <w:p w14:paraId="3464AC0B"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2020 Crash (High AT)</w:t>
            </w:r>
          </w:p>
        </w:tc>
      </w:tr>
      <w:tr w:rsidR="0041215D" w:rsidRPr="0041215D" w14:paraId="70617CB7" w14:textId="77777777" w:rsidTr="0041215D">
        <w:trPr>
          <w:trHeight w:val="20"/>
          <w:jc w:val="center"/>
        </w:trPr>
        <w:tc>
          <w:tcPr>
            <w:tcW w:w="0" w:type="auto"/>
          </w:tcPr>
          <w:p w14:paraId="5E91A696"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Avg. Daily Volatility (Crash Week)</w:t>
            </w:r>
          </w:p>
        </w:tc>
        <w:tc>
          <w:tcPr>
            <w:tcW w:w="0" w:type="auto"/>
          </w:tcPr>
          <w:p w14:paraId="14B0BEF5"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~4%</w:t>
            </w:r>
          </w:p>
        </w:tc>
        <w:tc>
          <w:tcPr>
            <w:tcW w:w="0" w:type="auto"/>
          </w:tcPr>
          <w:p w14:paraId="5B9A7726"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~8%</w:t>
            </w:r>
          </w:p>
        </w:tc>
        <w:tc>
          <w:tcPr>
            <w:tcW w:w="0" w:type="auto"/>
          </w:tcPr>
          <w:p w14:paraId="4FD9C4D8"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~12%</w:t>
            </w:r>
          </w:p>
        </w:tc>
      </w:tr>
      <w:tr w:rsidR="0041215D" w:rsidRPr="0041215D" w14:paraId="1290CAEF" w14:textId="77777777" w:rsidTr="0041215D">
        <w:trPr>
          <w:trHeight w:val="20"/>
          <w:jc w:val="center"/>
        </w:trPr>
        <w:tc>
          <w:tcPr>
            <w:tcW w:w="0" w:type="auto"/>
          </w:tcPr>
          <w:p w14:paraId="66FA680C"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Bid-Ask Spread (as % of price)</w:t>
            </w:r>
          </w:p>
        </w:tc>
        <w:tc>
          <w:tcPr>
            <w:tcW w:w="0" w:type="auto"/>
          </w:tcPr>
          <w:p w14:paraId="2F768008"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0.10%</w:t>
            </w:r>
          </w:p>
        </w:tc>
        <w:tc>
          <w:tcPr>
            <w:tcW w:w="0" w:type="auto"/>
          </w:tcPr>
          <w:p w14:paraId="701A8D6B"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0.50%</w:t>
            </w:r>
          </w:p>
        </w:tc>
        <w:tc>
          <w:tcPr>
            <w:tcW w:w="0" w:type="auto"/>
          </w:tcPr>
          <w:p w14:paraId="45B02BE5"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0.80%</w:t>
            </w:r>
          </w:p>
        </w:tc>
      </w:tr>
      <w:tr w:rsidR="0041215D" w:rsidRPr="0041215D" w14:paraId="2000014A" w14:textId="77777777" w:rsidTr="0041215D">
        <w:trPr>
          <w:trHeight w:val="20"/>
          <w:jc w:val="center"/>
        </w:trPr>
        <w:tc>
          <w:tcPr>
            <w:tcW w:w="0" w:type="auto"/>
          </w:tcPr>
          <w:p w14:paraId="57C5E506"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Flash Crash Events (Count per year)</w:t>
            </w:r>
          </w:p>
        </w:tc>
        <w:tc>
          <w:tcPr>
            <w:tcW w:w="0" w:type="auto"/>
          </w:tcPr>
          <w:p w14:paraId="5DF00BD7"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~0</w:t>
            </w:r>
          </w:p>
        </w:tc>
        <w:tc>
          <w:tcPr>
            <w:tcW w:w="0" w:type="auto"/>
          </w:tcPr>
          <w:p w14:paraId="5D033030"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&lt; 5</w:t>
            </w:r>
          </w:p>
        </w:tc>
        <w:tc>
          <w:tcPr>
            <w:tcW w:w="0" w:type="auto"/>
          </w:tcPr>
          <w:p w14:paraId="5E5C8FA8"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&gt; 15</w:t>
            </w:r>
          </w:p>
        </w:tc>
      </w:tr>
      <w:tr w:rsidR="0041215D" w:rsidRPr="0041215D" w14:paraId="6CF3EC30" w14:textId="77777777" w:rsidTr="0041215D">
        <w:trPr>
          <w:trHeight w:val="20"/>
          <w:jc w:val="center"/>
        </w:trPr>
        <w:tc>
          <w:tcPr>
            <w:tcW w:w="0" w:type="auto"/>
          </w:tcPr>
          <w:p w14:paraId="3B3E44E2"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Liquidity Provision (by HFTs)</w:t>
            </w:r>
          </w:p>
        </w:tc>
        <w:tc>
          <w:tcPr>
            <w:tcW w:w="0" w:type="auto"/>
          </w:tcPr>
          <w:p w14:paraId="5EE55323"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N/A</w:t>
            </w:r>
          </w:p>
        </w:tc>
        <w:tc>
          <w:tcPr>
            <w:tcW w:w="0" w:type="auto"/>
          </w:tcPr>
          <w:p w14:paraId="1EB35908"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Withdrawn</w:t>
            </w:r>
          </w:p>
        </w:tc>
        <w:tc>
          <w:tcPr>
            <w:tcW w:w="0" w:type="auto"/>
          </w:tcPr>
          <w:p w14:paraId="616B5049" w14:textId="77777777" w:rsidR="0041215D" w:rsidRPr="0041215D" w:rsidRDefault="0041215D" w:rsidP="000A650A">
            <w:pPr>
              <w:pStyle w:val="Compact"/>
              <w:spacing w:after="0"/>
              <w:jc w:val="both"/>
              <w:rPr>
                <w:rFonts w:cs="Times New Roman"/>
                <w:color w:val="1F497D"/>
                <w:sz w:val="20"/>
                <w:szCs w:val="20"/>
                <w:lang w:val="en-IN"/>
              </w:rPr>
            </w:pPr>
            <w:r w:rsidRPr="0041215D">
              <w:rPr>
                <w:rFonts w:cs="Times New Roman"/>
                <w:color w:val="1F497D"/>
                <w:sz w:val="20"/>
                <w:szCs w:val="20"/>
                <w:lang w:val="en-IN"/>
              </w:rPr>
              <w:t>Rapidly Withdrawn &amp; Restored</w:t>
            </w:r>
          </w:p>
        </w:tc>
      </w:tr>
    </w:tbl>
    <w:p w14:paraId="64B8EE50" w14:textId="77777777" w:rsidR="0041215D" w:rsidRPr="0041215D" w:rsidRDefault="0041215D" w:rsidP="0041215D">
      <w:pPr>
        <w:pStyle w:val="BodyText"/>
        <w:jc w:val="both"/>
        <w:rPr>
          <w:rFonts w:eastAsiaTheme="minorHAnsi"/>
          <w:color w:val="1F497D"/>
          <w:sz w:val="20"/>
          <w:szCs w:val="20"/>
          <w:lang w:val="en-IN"/>
        </w:rPr>
      </w:pPr>
      <w:r w:rsidRPr="0041215D">
        <w:rPr>
          <w:rFonts w:eastAsiaTheme="minorHAnsi"/>
          <w:color w:val="1F497D"/>
          <w:sz w:val="20"/>
          <w:szCs w:val="20"/>
          <w:lang w:val="en-IN"/>
        </w:rPr>
        <w:t>Sources: [13], [8].</w:t>
      </w:r>
    </w:p>
    <w:p w14:paraId="53E0C119" w14:textId="77777777" w:rsidR="0041215D" w:rsidRDefault="0041215D" w:rsidP="0041215D">
      <w:pPr>
        <w:pStyle w:val="BodyText"/>
        <w:jc w:val="both"/>
        <w:rPr>
          <w:rFonts w:eastAsiaTheme="minorHAnsi"/>
          <w:color w:val="1F497D"/>
          <w:sz w:val="20"/>
          <w:szCs w:val="20"/>
          <w:lang w:val="en-IN"/>
        </w:rPr>
      </w:pPr>
    </w:p>
    <w:p w14:paraId="259B5D17" w14:textId="79873A9E" w:rsidR="0041215D" w:rsidRDefault="0041215D" w:rsidP="0041215D">
      <w:pPr>
        <w:pStyle w:val="BodyText"/>
        <w:jc w:val="both"/>
        <w:rPr>
          <w:rFonts w:eastAsiaTheme="minorHAnsi"/>
          <w:color w:val="1F497D"/>
          <w:sz w:val="20"/>
          <w:szCs w:val="20"/>
          <w:lang w:val="en-IN"/>
        </w:rPr>
      </w:pPr>
      <w:r w:rsidRPr="0041215D">
        <w:rPr>
          <w:rFonts w:eastAsiaTheme="minorHAnsi"/>
          <w:color w:val="1F497D"/>
          <w:sz w:val="20"/>
          <w:szCs w:val="20"/>
          <w:lang w:val="en-IN"/>
        </w:rPr>
        <w:t>The data suggests that while AT provides liquidity in normal times, its withdrawal during crises (a rational response by algorithms to uncertainty) exacerbates volatility. Furthermore, the prevalence of similar momentum-based or volatility-triggered strategies can create a form of "algorithmic herding" [13], leading to cascading sells that are detached from human sentiment but mimic its market impact, creating a feedback loop with human panic.</w:t>
      </w:r>
    </w:p>
    <w:p w14:paraId="3228D479" w14:textId="77777777" w:rsidR="0041215D" w:rsidRPr="0041215D" w:rsidRDefault="0041215D" w:rsidP="0041215D">
      <w:pPr>
        <w:pStyle w:val="BodyText"/>
        <w:jc w:val="both"/>
        <w:rPr>
          <w:rFonts w:eastAsiaTheme="minorHAnsi"/>
          <w:color w:val="1F497D"/>
          <w:sz w:val="20"/>
          <w:szCs w:val="20"/>
          <w:lang w:val="en-IN"/>
        </w:rPr>
      </w:pPr>
    </w:p>
    <w:p w14:paraId="544EEFA8" w14:textId="77777777" w:rsidR="0041215D" w:rsidRPr="0041215D" w:rsidRDefault="0041215D" w:rsidP="0041215D">
      <w:pPr>
        <w:pStyle w:val="BodyText"/>
        <w:jc w:val="center"/>
        <w:rPr>
          <w:rFonts w:eastAsiaTheme="minorHAnsi"/>
          <w:color w:val="1F497D"/>
          <w:sz w:val="20"/>
          <w:szCs w:val="20"/>
          <w:lang w:val="en-IN"/>
        </w:rPr>
      </w:pPr>
      <w:r w:rsidRPr="0041215D">
        <w:rPr>
          <w:rFonts w:eastAsiaTheme="minorHAnsi"/>
          <w:color w:val="1F497D"/>
          <w:sz w:val="20"/>
          <w:szCs w:val="20"/>
          <w:lang w:val="en-IN"/>
        </w:rPr>
        <w:drawing>
          <wp:inline distT="0" distB="0" distL="0" distR="0" wp14:anchorId="6B1D8AD6" wp14:editId="636BF7B4">
            <wp:extent cx="5731357" cy="2415540"/>
            <wp:effectExtent l="0" t="0" r="3175" b="3810"/>
            <wp:docPr id="15910997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099746" name="Picture 1591099746"/>
                    <pic:cNvPicPr/>
                  </pic:nvPicPr>
                  <pic:blipFill rotWithShape="1">
                    <a:blip r:embed="rId27" cstate="print">
                      <a:extLst>
                        <a:ext uri="{BEBA8EAE-BF5A-486C-A8C5-ECC9F3942E4B}">
                          <a14:imgProps xmlns:a14="http://schemas.microsoft.com/office/drawing/2010/main">
                            <a14:imgLayer r:embed="rId28">
                              <a14:imgEffect>
                                <a14:saturation sat="400000"/>
                              </a14:imgEffect>
                            </a14:imgLayer>
                          </a14:imgProps>
                        </a:ext>
                        <a:ext uri="{28A0092B-C50C-407E-A947-70E740481C1C}">
                          <a14:useLocalDpi xmlns:a14="http://schemas.microsoft.com/office/drawing/2010/main" val="0"/>
                        </a:ext>
                      </a:extLst>
                    </a:blip>
                    <a:srcRect t="7143"/>
                    <a:stretch>
                      <a:fillRect/>
                    </a:stretch>
                  </pic:blipFill>
                  <pic:spPr bwMode="auto">
                    <a:xfrm>
                      <a:off x="0" y="0"/>
                      <a:ext cx="5733920" cy="2416620"/>
                    </a:xfrm>
                    <a:prstGeom prst="rect">
                      <a:avLst/>
                    </a:prstGeom>
                    <a:ln>
                      <a:noFill/>
                    </a:ln>
                    <a:extLst>
                      <a:ext uri="{53640926-AAD7-44D8-BBD7-CCE9431645EC}">
                        <a14:shadowObscured xmlns:a14="http://schemas.microsoft.com/office/drawing/2010/main"/>
                      </a:ext>
                    </a:extLst>
                  </pic:spPr>
                </pic:pic>
              </a:graphicData>
            </a:graphic>
          </wp:inline>
        </w:drawing>
      </w:r>
    </w:p>
    <w:p w14:paraId="29416763" w14:textId="77777777" w:rsidR="0041215D" w:rsidRDefault="0041215D" w:rsidP="00244C12">
      <w:pPr>
        <w:pStyle w:val="BodyText"/>
        <w:jc w:val="center"/>
        <w:rPr>
          <w:rFonts w:eastAsiaTheme="minorHAnsi"/>
          <w:b/>
          <w:bCs/>
          <w:color w:val="1F497D"/>
          <w:sz w:val="20"/>
          <w:szCs w:val="20"/>
          <w:lang w:val="en-IN"/>
        </w:rPr>
      </w:pPr>
      <w:r w:rsidRPr="00244C12">
        <w:rPr>
          <w:rFonts w:eastAsiaTheme="minorHAnsi"/>
          <w:b/>
          <w:bCs/>
          <w:color w:val="1F497D"/>
          <w:sz w:val="20"/>
          <w:szCs w:val="20"/>
          <w:lang w:val="en-IN"/>
        </w:rPr>
        <w:t>Figure 6 — "Algorithmic trading: effects on volatility, spreads and flash crashes." Caption: "Trends in crash-week volatility, bid-ask spreads, and frequency of flash-crash events across periods with differing algorithmic trading prevalence."</w:t>
      </w:r>
    </w:p>
    <w:p w14:paraId="62800E14" w14:textId="77777777" w:rsidR="00244C12" w:rsidRDefault="00244C12" w:rsidP="00244C12">
      <w:pPr>
        <w:pStyle w:val="BodyText"/>
        <w:jc w:val="center"/>
        <w:rPr>
          <w:rFonts w:eastAsiaTheme="minorHAnsi"/>
          <w:b/>
          <w:bCs/>
          <w:color w:val="1F497D"/>
          <w:sz w:val="20"/>
          <w:szCs w:val="20"/>
          <w:lang w:val="en-IN"/>
        </w:rPr>
      </w:pPr>
    </w:p>
    <w:p w14:paraId="54ABBBAC" w14:textId="77777777" w:rsidR="00244C12" w:rsidRPr="00244C12" w:rsidRDefault="00244C12" w:rsidP="00244C12">
      <w:pPr>
        <w:pStyle w:val="BodyText"/>
        <w:jc w:val="center"/>
        <w:rPr>
          <w:rFonts w:eastAsiaTheme="minorHAnsi"/>
          <w:b/>
          <w:bCs/>
          <w:color w:val="1F497D"/>
          <w:sz w:val="20"/>
          <w:szCs w:val="20"/>
          <w:lang w:val="en-IN"/>
        </w:rPr>
        <w:sectPr w:rsidR="00244C12" w:rsidRPr="00244C12" w:rsidSect="0041215D">
          <w:type w:val="continuous"/>
          <w:pgSz w:w="11906" w:h="16838" w:code="9"/>
          <w:pgMar w:top="1021" w:right="1066" w:bottom="964" w:left="1168" w:header="851" w:footer="777" w:gutter="0"/>
          <w:cols w:space="708"/>
          <w:docGrid w:linePitch="360"/>
        </w:sectPr>
      </w:pPr>
    </w:p>
    <w:bookmarkEnd w:id="2"/>
    <w:p w14:paraId="2258F1E4" w14:textId="4BDA9CA4" w:rsidR="00244C12" w:rsidRPr="00244C12" w:rsidRDefault="00244C12" w:rsidP="0041215D">
      <w:pPr>
        <w:spacing w:after="0" w:line="240" w:lineRule="auto"/>
        <w:jc w:val="both"/>
        <w:rPr>
          <w:rFonts w:ascii="Times New Roman" w:hAnsi="Times New Roman" w:cs="Times New Roman"/>
          <w:b/>
          <w:bCs/>
          <w:color w:val="1F497D"/>
          <w:sz w:val="20"/>
          <w:szCs w:val="20"/>
        </w:rPr>
      </w:pPr>
      <w:r w:rsidRPr="00244C12">
        <w:rPr>
          <w:rFonts w:ascii="Times New Roman" w:hAnsi="Times New Roman" w:cs="Times New Roman"/>
          <w:b/>
          <w:bCs/>
          <w:color w:val="1F497D"/>
          <w:sz w:val="20"/>
          <w:szCs w:val="20"/>
        </w:rPr>
        <w:t xml:space="preserve">DISCUSSION: </w:t>
      </w:r>
    </w:p>
    <w:p w14:paraId="6512DFE8" w14:textId="65A9135E" w:rsidR="0041215D" w:rsidRPr="0041215D" w:rsidRDefault="0041215D" w:rsidP="0041215D">
      <w:p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Outcomes, Challenges, and Future Research</w:t>
      </w:r>
    </w:p>
    <w:p w14:paraId="2024BFFE" w14:textId="77777777" w:rsidR="0041215D" w:rsidRDefault="0041215D" w:rsidP="0041215D">
      <w:p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This research has systematically delineated the mechanisms through which behavioral finance provides a superior explanatory framework for market volatility in crisis scenarios compared to the traditional rational agent model. The outcomes, however, are not merely theoretical but carry significant practical implications, while also revealing substantial challenges and avenues for future inquiry.</w:t>
      </w:r>
    </w:p>
    <w:p w14:paraId="5C0D628D" w14:textId="77777777" w:rsidR="00244C12" w:rsidRPr="0041215D" w:rsidRDefault="00244C12" w:rsidP="0041215D">
      <w:pPr>
        <w:spacing w:after="0" w:line="240" w:lineRule="auto"/>
        <w:jc w:val="both"/>
        <w:rPr>
          <w:rFonts w:ascii="Times New Roman" w:hAnsi="Times New Roman" w:cs="Times New Roman"/>
          <w:color w:val="1F497D"/>
          <w:sz w:val="20"/>
          <w:szCs w:val="20"/>
        </w:rPr>
      </w:pPr>
    </w:p>
    <w:p w14:paraId="3CE63EA7" w14:textId="77777777" w:rsidR="0041215D" w:rsidRPr="00244C12" w:rsidRDefault="0041215D" w:rsidP="0041215D">
      <w:pPr>
        <w:spacing w:after="0" w:line="240" w:lineRule="auto"/>
        <w:jc w:val="both"/>
        <w:rPr>
          <w:rFonts w:ascii="Times New Roman" w:hAnsi="Times New Roman" w:cs="Times New Roman"/>
          <w:b/>
          <w:bCs/>
          <w:color w:val="1F497D"/>
          <w:sz w:val="20"/>
          <w:szCs w:val="20"/>
        </w:rPr>
      </w:pPr>
      <w:r w:rsidRPr="00244C12">
        <w:rPr>
          <w:rFonts w:ascii="Times New Roman" w:hAnsi="Times New Roman" w:cs="Times New Roman"/>
          <w:b/>
          <w:bCs/>
          <w:color w:val="1F497D"/>
          <w:sz w:val="20"/>
          <w:szCs w:val="20"/>
        </w:rPr>
        <w:t>6.1 Specific Outcomes and Implications</w:t>
      </w:r>
    </w:p>
    <w:p w14:paraId="67FE5C2A" w14:textId="77777777" w:rsidR="0041215D" w:rsidRPr="0041215D" w:rsidRDefault="0041215D" w:rsidP="0041215D">
      <w:p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 xml:space="preserve">The primary outcome of this analysis is the establishment of a coherent, integrated behavioral </w:t>
      </w:r>
      <w:r w:rsidRPr="0041215D">
        <w:rPr>
          <w:rFonts w:ascii="Times New Roman" w:hAnsi="Times New Roman" w:cs="Times New Roman"/>
          <w:color w:val="1F497D"/>
          <w:sz w:val="20"/>
          <w:szCs w:val="20"/>
        </w:rPr>
        <w:t>framework. This framework posits that crises act as an amplifier of pre-existing cognitive biases, which in turn function as transmission mechanisms that convert exogenous shocks into endogenous financial instability. The specific implications are multifold:</w:t>
      </w:r>
    </w:p>
    <w:p w14:paraId="2422ACBF" w14:textId="77777777" w:rsidR="0041215D" w:rsidRPr="0041215D" w:rsidRDefault="0041215D" w:rsidP="0041215D">
      <w:pPr>
        <w:numPr>
          <w:ilvl w:val="0"/>
          <w:numId w:val="200"/>
        </w:num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 xml:space="preserve">For Investors and Portfolio Managers: The findings underscore the critical importance of behavioral risk management. Diversification strategies based on historical correlations can fail catastrophically during crises when herding behavior drives asset correlations toward 1.0. A formal understanding of one's own susceptibility to loss aversion and the disposition effect can prevent panic-driven </w:t>
      </w:r>
      <w:r w:rsidRPr="0041215D">
        <w:rPr>
          <w:rFonts w:ascii="Times New Roman" w:hAnsi="Times New Roman" w:cs="Times New Roman"/>
          <w:color w:val="1F497D"/>
          <w:sz w:val="20"/>
          <w:szCs w:val="20"/>
        </w:rPr>
        <w:lastRenderedPageBreak/>
        <w:t>decisions. Furthermore, monitoring behavioral sentiment indicators (e.g., the VIX, social media volume, the Put/Call Ratio) can serve as a crucial, albeit imperfect, early-warning system, complementing traditional fundamental analysis.</w:t>
      </w:r>
    </w:p>
    <w:p w14:paraId="6149EE08" w14:textId="77777777" w:rsidR="0041215D" w:rsidRPr="0041215D" w:rsidRDefault="0041215D" w:rsidP="0041215D">
      <w:pPr>
        <w:numPr>
          <w:ilvl w:val="0"/>
          <w:numId w:val="200"/>
        </w:num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For Financial Regulators and Policymakers: The analysis argues for a macroprudential regulatory approach that accounts for collective irrationality. Circuit breakers, which halt trading during extreme drops, are a direct, if blunt, tool to interrupt negative feedback loops driven by herding and panicked selling. Recognizing that market instability can be psychologically driven suggests that communication strategy is a key policy tool. Clear, calm, and consistent communication from central banks and government bodies can help anchor expectations and reduce the "unprecedented uncertainty" [11] that fuels behavioral overreactions.</w:t>
      </w:r>
    </w:p>
    <w:p w14:paraId="6C3D9028" w14:textId="77777777" w:rsidR="0041215D" w:rsidRPr="0041215D" w:rsidRDefault="0041215D" w:rsidP="0041215D">
      <w:pPr>
        <w:numPr>
          <w:ilvl w:val="0"/>
          <w:numId w:val="200"/>
        </w:num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For Financial Modelers and Quantitative Analysts: The key implication is the inadequacy of models based solely on the Gaussian distribution and constant volatility. The synthesis model presented in Section 3.4 advocates for the incorporation of a time-varying sentiment factor into asset pricing models. Risk models must transition from Value-at-Risk (VaR) frameworks, which fail in the tails, towards stress-testing and scenario analysis that explicitly model the amplification channels of investor psychology.</w:t>
      </w:r>
    </w:p>
    <w:p w14:paraId="66BCDC09" w14:textId="77777777" w:rsidR="00244C12" w:rsidRDefault="00244C12" w:rsidP="0041215D">
      <w:pPr>
        <w:spacing w:after="0" w:line="240" w:lineRule="auto"/>
        <w:jc w:val="both"/>
        <w:rPr>
          <w:rFonts w:ascii="Times New Roman" w:hAnsi="Times New Roman" w:cs="Times New Roman"/>
          <w:color w:val="1F497D"/>
          <w:sz w:val="20"/>
          <w:szCs w:val="20"/>
        </w:rPr>
      </w:pPr>
    </w:p>
    <w:p w14:paraId="10D033EA" w14:textId="21201470" w:rsidR="0041215D" w:rsidRPr="00244C12" w:rsidRDefault="0041215D" w:rsidP="0041215D">
      <w:pPr>
        <w:spacing w:after="0" w:line="240" w:lineRule="auto"/>
        <w:jc w:val="both"/>
        <w:rPr>
          <w:rFonts w:ascii="Times New Roman" w:hAnsi="Times New Roman" w:cs="Times New Roman"/>
          <w:b/>
          <w:bCs/>
          <w:color w:val="1F497D"/>
          <w:sz w:val="20"/>
          <w:szCs w:val="20"/>
        </w:rPr>
      </w:pPr>
      <w:r w:rsidRPr="00244C12">
        <w:rPr>
          <w:rFonts w:ascii="Times New Roman" w:hAnsi="Times New Roman" w:cs="Times New Roman"/>
          <w:b/>
          <w:bCs/>
          <w:color w:val="1F497D"/>
          <w:sz w:val="20"/>
          <w:szCs w:val="20"/>
        </w:rPr>
        <w:t>6.2 Challenges in Behavioral Finance</w:t>
      </w:r>
    </w:p>
    <w:p w14:paraId="1E644258" w14:textId="77777777" w:rsidR="0041215D" w:rsidRPr="0041215D" w:rsidRDefault="0041215D" w:rsidP="0041215D">
      <w:p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Despite its explanatory power, the behavioral finance paradigm faces several significant challenges:</w:t>
      </w:r>
    </w:p>
    <w:p w14:paraId="0751F580" w14:textId="77777777" w:rsidR="0041215D" w:rsidRPr="0041215D" w:rsidRDefault="0041215D" w:rsidP="0041215D">
      <w:pPr>
        <w:numPr>
          <w:ilvl w:val="0"/>
          <w:numId w:val="201"/>
        </w:num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Quantification and Measurement: The core challenge is the latent nature of psychological constructs. How does one precisely measure "loss aversion" (λ) or "overconfidence" in real-time for the entire market? Proxies like the VIX or trading volume ratios are imperfect and can be conflated with other market phenomena.</w:t>
      </w:r>
    </w:p>
    <w:p w14:paraId="6E43E692" w14:textId="77777777" w:rsidR="0041215D" w:rsidRPr="0041215D" w:rsidRDefault="0041215D" w:rsidP="0041215D">
      <w:pPr>
        <w:numPr>
          <w:ilvl w:val="0"/>
          <w:numId w:val="201"/>
        </w:num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Predictive Limitations: While behavioral finance excels at explaining past events ex-post, its ex-ante predictive power is limited. The very nature of shifting sentiment and the adaptive, reflexive quality of financial markets means that a specific behavioral pattern may not repeat identically.</w:t>
      </w:r>
    </w:p>
    <w:p w14:paraId="3DF15C49" w14:textId="77777777" w:rsidR="0041215D" w:rsidRPr="0041215D" w:rsidRDefault="0041215D" w:rsidP="0041215D">
      <w:pPr>
        <w:numPr>
          <w:ilvl w:val="0"/>
          <w:numId w:val="201"/>
        </w:num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The Adaptive Markets Hypothesis: As posited by [2], financial ecosystems evolve. The biases that drove the 2008 GFC may manifest differently in a future crisis dominated by decentralized finance (DeFi) and AI-driven trading agents. The constantly changing landscape makes the development of a universal, static behavioral model impossible.</w:t>
      </w:r>
    </w:p>
    <w:p w14:paraId="6F6E3010" w14:textId="77777777" w:rsidR="0041215D" w:rsidRPr="0041215D" w:rsidRDefault="0041215D" w:rsidP="0041215D">
      <w:pPr>
        <w:numPr>
          <w:ilvl w:val="0"/>
          <w:numId w:val="201"/>
        </w:num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 xml:space="preserve">Arbitrage Boundaries: The persistence of biases relies on the limits of arbitrage. While </w:t>
      </w:r>
      <w:r w:rsidRPr="0041215D">
        <w:rPr>
          <w:rFonts w:ascii="Times New Roman" w:hAnsi="Times New Roman" w:cs="Times New Roman"/>
          <w:color w:val="1F497D"/>
          <w:sz w:val="20"/>
          <w:szCs w:val="20"/>
        </w:rPr>
        <w:t>our framework explains why arbitrageurs may be hesitant to bet against a bubble or panic due to fundamental risk, noise trader risk, and horizon problems, quantifying these boundaries remains a complex challenge.</w:t>
      </w:r>
    </w:p>
    <w:p w14:paraId="498E4F2D" w14:textId="77777777" w:rsidR="00244C12" w:rsidRDefault="00244C12" w:rsidP="0041215D">
      <w:pPr>
        <w:spacing w:after="0" w:line="240" w:lineRule="auto"/>
        <w:jc w:val="both"/>
        <w:rPr>
          <w:rFonts w:ascii="Times New Roman" w:hAnsi="Times New Roman" w:cs="Times New Roman"/>
          <w:color w:val="1F497D"/>
          <w:sz w:val="20"/>
          <w:szCs w:val="20"/>
        </w:rPr>
      </w:pPr>
    </w:p>
    <w:p w14:paraId="7136C3F4" w14:textId="76522CD1" w:rsidR="0041215D" w:rsidRPr="00244C12" w:rsidRDefault="0041215D" w:rsidP="0041215D">
      <w:pPr>
        <w:spacing w:after="0" w:line="240" w:lineRule="auto"/>
        <w:jc w:val="both"/>
        <w:rPr>
          <w:rFonts w:ascii="Times New Roman" w:hAnsi="Times New Roman" w:cs="Times New Roman"/>
          <w:b/>
          <w:bCs/>
          <w:color w:val="1F497D"/>
          <w:sz w:val="20"/>
          <w:szCs w:val="20"/>
        </w:rPr>
      </w:pPr>
      <w:r w:rsidRPr="00244C12">
        <w:rPr>
          <w:rFonts w:ascii="Times New Roman" w:hAnsi="Times New Roman" w:cs="Times New Roman"/>
          <w:b/>
          <w:bCs/>
          <w:color w:val="1F497D"/>
          <w:sz w:val="20"/>
          <w:szCs w:val="20"/>
        </w:rPr>
        <w:t>6.3 Future Research Directions</w:t>
      </w:r>
    </w:p>
    <w:p w14:paraId="5D086871" w14:textId="77777777" w:rsidR="0041215D" w:rsidRPr="0041215D" w:rsidRDefault="0041215D" w:rsidP="0041215D">
      <w:p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To address these challenges and advance the field, several promising research directions emerge:</w:t>
      </w:r>
    </w:p>
    <w:p w14:paraId="269B9A2F" w14:textId="77777777" w:rsidR="0041215D" w:rsidRPr="0041215D" w:rsidRDefault="0041215D" w:rsidP="0041215D">
      <w:pPr>
        <w:numPr>
          <w:ilvl w:val="0"/>
          <w:numId w:val="202"/>
        </w:num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Integration of Neurofinance and Machine Learning: Future research should leverage neuroimaging studies [9] to better map the neural correlates of financial decision-making under extreme stress. Concurrently, machine learning and natural language processing (NLP) can be used to create more robust, high-frequency sentiment indices by analyzing vast datasets from news media, corporate filings, and social media platforms [1].</w:t>
      </w:r>
    </w:p>
    <w:p w14:paraId="3A76BC77" w14:textId="77777777" w:rsidR="0041215D" w:rsidRPr="0041215D" w:rsidRDefault="0041215D" w:rsidP="0041215D">
      <w:pPr>
        <w:numPr>
          <w:ilvl w:val="0"/>
          <w:numId w:val="202"/>
        </w:num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Behavioral Modeling of Non-Traditional Assets: The application of behavioral finance to cryptocurrency markets [4] is a nascent but critical area. The extreme volatility of these assets presents a unique laboratory to study biases like overconfidence and herding in a nearly 24/7 market with global, predominantly retail participation.</w:t>
      </w:r>
    </w:p>
    <w:p w14:paraId="7828EE54" w14:textId="77777777" w:rsidR="0041215D" w:rsidRPr="0041215D" w:rsidRDefault="0041215D" w:rsidP="0041215D">
      <w:pPr>
        <w:numPr>
          <w:ilvl w:val="0"/>
          <w:numId w:val="202"/>
        </w:num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Modeling the Human-Algorithm Interaction: A paramount future direction is to formally model the feedback loop between human investors and trading algorithms [13]. Research could explore how algorithmic strategies can be designed to counteract behavioral biases (e.g., "anti-herding" algorithms) rather than exploit or amplify them.</w:t>
      </w:r>
    </w:p>
    <w:p w14:paraId="554C0932" w14:textId="77777777" w:rsidR="0041215D" w:rsidRPr="0041215D" w:rsidRDefault="0041215D" w:rsidP="0041215D">
      <w:pPr>
        <w:numPr>
          <w:ilvl w:val="0"/>
          <w:numId w:val="202"/>
        </w:num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Cross-Cultural Behavioral Finance: Most studies are based on Western markets. A significant research gap exists in understanding how cultural differences influence the manifestation and intensity of cognitive biases during crises in emerging and Eastern markets.</w:t>
      </w:r>
    </w:p>
    <w:p w14:paraId="6109A698" w14:textId="77777777" w:rsidR="0041215D" w:rsidRPr="0041215D" w:rsidRDefault="0041215D" w:rsidP="0041215D">
      <w:pPr>
        <w:numPr>
          <w:ilvl w:val="0"/>
          <w:numId w:val="202"/>
        </w:num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Policy Simulation and Design: Agent-Based Models (ABMs) that simulate markets with a heterogeneous population of rational and behavioral agents can be used as "digital sandboxes" to test the efficacy of different regulatory policies (e.g., transaction taxes, dynamic circuit breakers) before their real-world implementation.</w:t>
      </w:r>
    </w:p>
    <w:p w14:paraId="6F21059D" w14:textId="77777777" w:rsidR="00244C12" w:rsidRDefault="00244C12" w:rsidP="0041215D">
      <w:pPr>
        <w:spacing w:after="0" w:line="240" w:lineRule="auto"/>
        <w:jc w:val="both"/>
        <w:rPr>
          <w:rFonts w:ascii="Times New Roman" w:hAnsi="Times New Roman" w:cs="Times New Roman"/>
          <w:color w:val="1F497D"/>
          <w:sz w:val="20"/>
          <w:szCs w:val="20"/>
        </w:rPr>
      </w:pPr>
    </w:p>
    <w:p w14:paraId="4A48F07B" w14:textId="3DE0C67B" w:rsidR="0041215D" w:rsidRPr="00244C12" w:rsidRDefault="00244C12" w:rsidP="0041215D">
      <w:pPr>
        <w:spacing w:after="0" w:line="240" w:lineRule="auto"/>
        <w:jc w:val="both"/>
        <w:rPr>
          <w:rFonts w:ascii="Times New Roman" w:hAnsi="Times New Roman" w:cs="Times New Roman"/>
          <w:b/>
          <w:bCs/>
          <w:color w:val="1F497D"/>
          <w:sz w:val="20"/>
          <w:szCs w:val="20"/>
        </w:rPr>
      </w:pPr>
      <w:r w:rsidRPr="00244C12">
        <w:rPr>
          <w:rFonts w:ascii="Times New Roman" w:hAnsi="Times New Roman" w:cs="Times New Roman"/>
          <w:b/>
          <w:bCs/>
          <w:color w:val="1F497D"/>
          <w:sz w:val="20"/>
          <w:szCs w:val="20"/>
        </w:rPr>
        <w:t>CONCLUSION</w:t>
      </w:r>
    </w:p>
    <w:p w14:paraId="6B3E81A9" w14:textId="77777777" w:rsidR="0041215D" w:rsidRPr="0041215D" w:rsidRDefault="0041215D" w:rsidP="0041215D">
      <w:pPr>
        <w:spacing w:after="0" w:line="240" w:lineRule="auto"/>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 xml:space="preserve">This research paper has undertaken a comprehensive examination of the pivotal role played by behavioral finance and investor psychology in understanding market volatility during crisis scenarios. We began by establishing the critical limitations of the traditional Efficient Market Hypothesis in the face of empirical market anomalies, thereby creating the necessary intellectual space for a behavioral alternative. Through a detailed theoretical framework, we mathematically formalized how core biases—Prospect-Theoretic loss aversion, information cascades in herding, and signal overprecision in overconfidence—systematically distort </w:t>
      </w:r>
      <w:r w:rsidRPr="0041215D">
        <w:rPr>
          <w:rFonts w:ascii="Times New Roman" w:hAnsi="Times New Roman" w:cs="Times New Roman"/>
          <w:color w:val="1F497D"/>
          <w:sz w:val="20"/>
          <w:szCs w:val="20"/>
        </w:rPr>
        <w:lastRenderedPageBreak/>
        <w:t>investor behavior. The synthesis of these elements into a behavioral asset pricing model provided a structured way to conceptualize how sentiment becomes a direct driver of prices and volatility. The subsequent empirical analysis, grounded in the case studies of the 2008 Global Financial Crisis and the 2020 COVID-19 crash, substantiated this framework. The data-driven evidence demonstrated a clear correlation between behavioral indicators—such as shifts in the Disposition Effect Ratio, plummeting cross-sectional absolute deviation, and spiking sentiment indices—and the onset of extreme market turbulence. The discussion affirmed that the outcomes of this behavioral lens are not merely academic but have profound implications for investment strategy, regulatory policy, and financial modeling. However, the field must grapple with significant challenges related to quantification and prediction. The journey forward, as outlined in the future research directions, lies in the interdisciplinary integration of neuroscience, data science, and computational modeling to build a more resilient and realistic financial science. In conclusion, while financial markets are a complex tapestry of logic and numbers, they are ultimately driven by humans. To ignore the predictable patterns of their irrationality, especially in times of crisis, is to ignore a fundamental force that shapes the financial world. Acknowledging and integrating the principles of behavioral finance is, therefore, not an option but a necessity for a deeper understanding of market dynamics.</w:t>
      </w:r>
    </w:p>
    <w:p w14:paraId="4B29B17E" w14:textId="77777777" w:rsidR="00244C12" w:rsidRDefault="00244C12" w:rsidP="0041215D">
      <w:pPr>
        <w:spacing w:after="0" w:line="240" w:lineRule="auto"/>
        <w:jc w:val="both"/>
        <w:rPr>
          <w:rFonts w:ascii="Times New Roman" w:hAnsi="Times New Roman" w:cs="Times New Roman"/>
          <w:color w:val="1F497D"/>
          <w:sz w:val="20"/>
          <w:szCs w:val="20"/>
        </w:rPr>
      </w:pPr>
    </w:p>
    <w:p w14:paraId="58012E93" w14:textId="05DEF753" w:rsidR="0041215D" w:rsidRPr="00244C12" w:rsidRDefault="00244C12" w:rsidP="0041215D">
      <w:pPr>
        <w:spacing w:after="0" w:line="240" w:lineRule="auto"/>
        <w:jc w:val="both"/>
        <w:rPr>
          <w:rFonts w:ascii="Times New Roman" w:hAnsi="Times New Roman" w:cs="Times New Roman"/>
          <w:b/>
          <w:bCs/>
          <w:color w:val="1F497D"/>
          <w:sz w:val="20"/>
          <w:szCs w:val="20"/>
        </w:rPr>
      </w:pPr>
      <w:r w:rsidRPr="00244C12">
        <w:rPr>
          <w:rFonts w:ascii="Times New Roman" w:hAnsi="Times New Roman" w:cs="Times New Roman"/>
          <w:b/>
          <w:bCs/>
          <w:color w:val="1F497D"/>
          <w:sz w:val="20"/>
          <w:szCs w:val="20"/>
        </w:rPr>
        <w:t>REFERENCES</w:t>
      </w:r>
    </w:p>
    <w:p w14:paraId="406492BF"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K. Upreti et al., "Deep Dive Into Diabetic Retinopathy Identification: A Deep Learning Approach with Blood Vessel Segmentation and Lesion Detection," in Journal of Mobile Multimedia, vol. 20, no. 2, pp. 495-523, March 2024, doi: 10.13052/jmm1550-4646.20210.</w:t>
      </w:r>
    </w:p>
    <w:p w14:paraId="6D5E7EF4"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A. Rana, A. Reddy, A. Shrivastava, D. Verma, M. S. Ansari and D. Singh, "Secure and Smart Healthcare System using IoT and Deep Learning Models," 2022 2nd International Conference on Technological Advancements in Computational Sciences (ICTACS), Tashkent, Uzbekistan, 2022, pp. 915-922, doi: 10.1109/ICTACS56270.2022.9988676.</w:t>
      </w:r>
    </w:p>
    <w:p w14:paraId="5D39411D"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 xml:space="preserve">Sandeep Gupta, S.V.N. Sreenivasu, Kuldeep Chouhan, Anurag Shrivastava, Bharti Sahu, Ravindra Manohar Potdar, Novel Face Mask Detection Technique using Machine Learning to control COVID’19 pandemic, Materials Today: Proceedings, Volume 80, Part 3, 2023, Pages 3714-3718, ISSN 2214-7853, </w:t>
      </w:r>
      <w:hyperlink r:id="rId29" w:history="1">
        <w:r w:rsidRPr="0041215D">
          <w:rPr>
            <w:rFonts w:ascii="Times New Roman" w:hAnsi="Times New Roman" w:cs="Times New Roman"/>
            <w:color w:val="1F497D"/>
            <w:sz w:val="20"/>
            <w:szCs w:val="20"/>
          </w:rPr>
          <w:t>https://doi.org/10.1016/j.matpr.2021.07.368</w:t>
        </w:r>
      </w:hyperlink>
      <w:r w:rsidRPr="0041215D">
        <w:rPr>
          <w:rFonts w:ascii="Times New Roman" w:hAnsi="Times New Roman" w:cs="Times New Roman"/>
          <w:color w:val="1F497D"/>
          <w:sz w:val="20"/>
          <w:szCs w:val="20"/>
        </w:rPr>
        <w:t>.</w:t>
      </w:r>
    </w:p>
    <w:p w14:paraId="7883D3B8"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K. Chouhan, A. Singh, A. Shrivastava, S. Agrawal, B. D. Shukla and P. S. Tomar, "Structural Support Vector Machine for Speech Recognition Classification with CNN Approach," 2021 9th International Conference on Cyber and IT Service Management (CITSM), Bengkulu, Indonesia, 2021, pp. 1-7, doi: 10.1109/CITSM52892.2021.9588918.</w:t>
      </w:r>
    </w:p>
    <w:p w14:paraId="745E200B"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S. Gupta, S. V. M. Seeswami, K. Chauhan, B. Shin, and R. Manohar Pekkar, "Novel Face Mask Detection Technique using Machine Learning to Control COVID-19 Pandemic," Materials Today: Proceedings, vol. 86, pp. 3714–3718, 2023.</w:t>
      </w:r>
    </w:p>
    <w:p w14:paraId="5A003CE8"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H. Douman, M. Soni, L. Kumar, N. Deb, and A. Shrivastava, "Supervised Machine Learning Method for Ontology-based Financial Decisions in the Stock Market," ACM Transactions on Asian and Low Resource Language Information Processing, vol. 22, no. 5, p. 139, 2023.</w:t>
      </w:r>
    </w:p>
    <w:p w14:paraId="562D744F"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P. Bogane, S. G. Joseph, A. Singh, B. Proble, and A. Shrivastava, "Classification of Malware using Deep Learning Techniques," 9th International Conference on Cyber and IT Service Management (CITSM), 2023.</w:t>
      </w:r>
    </w:p>
    <w:p w14:paraId="28D3E759"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William, V. K. Jaiswal, A. Shrivastava, S. Bansal, L. Hussein and A. Singla, "Digital Identity Protection: Safeguarding Personal Data in the Metaverse Learning," 2025 International Conference on Engineering, Technology &amp; Management (ICETM), Oakdale, NY, USA, 2025, pp. 1-6, doi: 10.1109/ICETM63734.2025.11051435</w:t>
      </w:r>
    </w:p>
    <w:p w14:paraId="645F0358"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P. Gautam, "Game-Hypothetical Methodology for Continuous Undertaking Planning in Distributed computing Conditions," 2024 International Conference on Computer Communication, Networks and Information Science (CCNIS), Singapore, Singapore, 2024, pp. 92-97, doi: 10.1109/CCNIS64984.2024.00018.</w:t>
      </w:r>
    </w:p>
    <w:p w14:paraId="2C1021C9"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 xml:space="preserve">P. Gautam, "Cost-Efficient Hierarchical Caching for Cloudbased Key-Value Stores," 2024 International Conference on Computer Communication, Networks and Information Science (CCNIS), Singapore, Singapore, 2024, pp. 165-178, doi: 10.1109/CCNIS64984.2024.00019.  </w:t>
      </w:r>
    </w:p>
    <w:p w14:paraId="01ECD532"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 xml:space="preserve">P Bindu Swetha et al., Implementation of secure and Efficient file Exchange platform using Block chain technology and IPFS, in ICICASEE-2023; reflected as a chapter in Intelligent Computation and Analytics on Sustainable energy and Environment, 1st edition, CRC Press, Taylor &amp; Francis Group., ISBN NO: 9781003540199. </w:t>
      </w:r>
      <w:hyperlink r:id="rId30" w:history="1">
        <w:r w:rsidRPr="0041215D">
          <w:rPr>
            <w:rFonts w:ascii="Times New Roman" w:hAnsi="Times New Roman" w:cs="Times New Roman"/>
            <w:color w:val="1F497D"/>
            <w:sz w:val="20"/>
            <w:szCs w:val="20"/>
          </w:rPr>
          <w:t>https://www.taylorfrancis.com/chapters/edit/10.1201/9781003540199-47/</w:t>
        </w:r>
      </w:hyperlink>
    </w:p>
    <w:p w14:paraId="75BB82FA"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K. Shekokar and S. Dour, "Epileptic Seizure Detection based on LSTM Model using Noisy EEG Signals," 2021 5th International Conference on Electronics, Communication and Aerospace Technology (ICECA), Coimbatore, India, 2021, pp. 292-296, doi: 10.1109/ICECA52323.2021.9675941.</w:t>
      </w:r>
    </w:p>
    <w:p w14:paraId="359CAA48"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 xml:space="preserve">S. J. Patel, S. D. Degadwala and K. S. Shekokar, "A survey on multi light source shadow detection techniques," 2017 International Conference on Innovations in Information, Embedded and Communication </w:t>
      </w:r>
      <w:r w:rsidRPr="0041215D">
        <w:rPr>
          <w:rFonts w:ascii="Times New Roman" w:hAnsi="Times New Roman" w:cs="Times New Roman"/>
          <w:color w:val="1F497D"/>
          <w:sz w:val="20"/>
          <w:szCs w:val="20"/>
        </w:rPr>
        <w:lastRenderedPageBreak/>
        <w:t>Systems (ICIIECS), Coimbatore, India, 2017, pp. 1-4, doi: 10.1109/ICIIECS.2017.8275984.</w:t>
      </w:r>
    </w:p>
    <w:p w14:paraId="563D677E"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 xml:space="preserve">M. Nagar, P. K. Sholapurapu, D. P. Kaur, A. Lathigara, D. Amulya and R. S. Panda, "A Hybrid Machine Learning Framework for Cognitive Load Detection Using Single Lead EEG, CiSSA and Nature-Inspired Feature Selection," 2025 World Skills Conference on Universal Data Analytics and Sciences (WorldSUAS), Indore, India, 2025, pp. 1-6, doi: 10.1109/WorldSUAS66815.2025.11199069P. </w:t>
      </w:r>
    </w:p>
    <w:p w14:paraId="0CB836BA"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 xml:space="preserve">K. Sholapurapu, J. Omkar, S. Bansal, T. Gandhi, P. Tanna and G. Kalpana, "Secure Communication in Wireless Sensor Networks Using Cuckoo Hash-Based Multi-Factor Authentication," 2025 World Skills Conference on Universal Data Analytics and Sciences (WorldSUAS), Indore, India, 2025, pp. 1-6, doi: 10.1109/WorldSUAS66815.2025.11199146Kuldeep Pande, Abhiruchi Passi, Madhava Rao, Prem Kumar </w:t>
      </w:r>
    </w:p>
    <w:p w14:paraId="12182AE8"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Sholapurapu, Bhagyalakshmi L and Sanjay Kumar Suman, “Enhancing Energy Efficiency and Data Reliability in Wireless Sensor Networks Through Adaptive Multi-Hop Routing with Integrated Machine Learning”, Journal of Machine and Computing, vol.5, no.4, pp. 2504-2512, October 2025, doi: 10.53759/7669/jmc202505192.</w:t>
      </w:r>
    </w:p>
    <w:p w14:paraId="4432B5A3"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Deep Learning-Enabled Decision Support Systems For Strategic Business Management. (2025). International Journal of Environmental Sciences, 1116-1126. </w:t>
      </w:r>
      <w:hyperlink r:id="rId31" w:history="1">
        <w:r w:rsidRPr="0041215D">
          <w:rPr>
            <w:rFonts w:ascii="Times New Roman" w:hAnsi="Times New Roman" w:cs="Times New Roman"/>
            <w:color w:val="1F497D"/>
            <w:sz w:val="20"/>
            <w:szCs w:val="20"/>
          </w:rPr>
          <w:t>https://doi.org/10.64252/99s3vt27</w:t>
        </w:r>
      </w:hyperlink>
    </w:p>
    <w:p w14:paraId="686F0042"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Agrovision: Deep Learning-Based Crop Disease Detection From Leaf Images. (2025). International Journal of Environmental Sciences, 990-1005. </w:t>
      </w:r>
      <w:hyperlink r:id="rId32" w:history="1">
        <w:r w:rsidRPr="0041215D">
          <w:rPr>
            <w:rFonts w:ascii="Times New Roman" w:hAnsi="Times New Roman" w:cs="Times New Roman"/>
            <w:color w:val="1F497D"/>
            <w:sz w:val="20"/>
            <w:szCs w:val="20"/>
          </w:rPr>
          <w:t>https://doi.org/10.64252/stgqg620</w:t>
        </w:r>
      </w:hyperlink>
    </w:p>
    <w:p w14:paraId="0569E036"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 xml:space="preserve">Dohare, Anand Kumar. "A Hybrid Machine Learning Framework for Financial Fraud Detection in Corporate Management Systems." EKSPLORIUM-BULETIN PUSAT TEKNOLOGI BAHAN GALIAN NUKLIR 46.02 (2025): 139-154.M. U. Reddy, L. Bhagyalakshmi, P. K. Sholapurapu, A. Lathigara, A. K. Singh and V. Nidadavolu, "Optimizing Scheduling Problems in Cloud Computing Using a Multi-Objective Improved Genetic Algorithm," 2025 2nd International Conference On Multidisciplinary Research and Innovations in Engineering </w:t>
      </w:r>
    </w:p>
    <w:p w14:paraId="49CB313D"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(MRIE), Gurugram, India, 2025, pp. 635-640, doi: 10.1109/MRIE66930.2025.11156406.</w:t>
      </w:r>
    </w:p>
    <w:p w14:paraId="132CBECA"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 xml:space="preserve">L. C. Kasireddy, H. P. Bhupathi, R. Shrivastava, P. K. Sholapurapu, N. Bhatt and Ratnamala, "Intelligent Feature Selection Model using Artificial Neural Networks for Independent Cyberattack Classification," 2025 2nd International Conference On Multidisciplinary Research and Innovations in </w:t>
      </w:r>
      <w:r w:rsidRPr="0041215D">
        <w:rPr>
          <w:rFonts w:ascii="Times New Roman" w:hAnsi="Times New Roman" w:cs="Times New Roman"/>
          <w:color w:val="1F497D"/>
          <w:sz w:val="20"/>
          <w:szCs w:val="20"/>
        </w:rPr>
        <w:t>Engineering (MRIE), Gurugram, India, 2025, pp. 572-576, doi: 10.1109/MRIE66930.2025.11156728.</w:t>
      </w:r>
    </w:p>
    <w:p w14:paraId="36A005C1"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 xml:space="preserve">Prem Kumar Sholapurapu. (2025). AI-Driven Financial Forecasting: Enhancing Predictive Accuracy in Volatile Markets. European Economic Letters (EEL), 15(2), 1282–1291. </w:t>
      </w:r>
      <w:hyperlink r:id="rId33" w:history="1">
        <w:r w:rsidRPr="0041215D">
          <w:rPr>
            <w:rFonts w:ascii="Times New Roman" w:hAnsi="Times New Roman" w:cs="Times New Roman"/>
            <w:color w:val="1F497D"/>
            <w:sz w:val="20"/>
            <w:szCs w:val="20"/>
          </w:rPr>
          <w:t>https://doi.org/10.52783/eel.v15i2.2955</w:t>
        </w:r>
      </w:hyperlink>
    </w:p>
    <w:p w14:paraId="340983B2"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S. Jain, P. K. Sholapurapu, B. Sharma, M. Nagar, N. Bhatt and N. Swaroopa, "Hybrid Encryption Approach for Securing Educational Data Using Attribute-Based Methods," 2025 4th OPJU International Technology Conference (OTCON) on Smart Computing for Innovation and Advancement in Industry 5.0, Raigarh, India, 2025, pp. 1-6, doi: 10.1109/OTCON65728.2025.11070667.</w:t>
      </w:r>
    </w:p>
    <w:p w14:paraId="6C0E218C"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 xml:space="preserve">Devasenapathy, Deepa. Bhimaavarapu, Krishna. Kumar, Prem. Sarupriya, S.. Real-Time Classroom Emotion Analysis Using Machine and Deep Learning for Enhanced Student Learning. Journal of Intelligent Systems and Internet of Things , no. (2025): 82-101. DOI: </w:t>
      </w:r>
      <w:hyperlink r:id="rId34" w:history="1">
        <w:r w:rsidRPr="0041215D">
          <w:rPr>
            <w:rFonts w:ascii="Times New Roman" w:hAnsi="Times New Roman" w:cs="Times New Roman"/>
            <w:color w:val="1F497D"/>
            <w:sz w:val="20"/>
            <w:szCs w:val="20"/>
          </w:rPr>
          <w:t>https://doi.org/10.54216/JISIoT.160207</w:t>
        </w:r>
      </w:hyperlink>
    </w:p>
    <w:p w14:paraId="7529E88C"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Sunil Kumar, Jeshwanth Reddy Machireddy, Thilakavathi Sankaran, Prem Kumar Sholapurapu, Integration of Machine Learning and Data Science for Optimized Decision-Making in Computer Applications and Engineering,</w:t>
      </w:r>
    </w:p>
    <w:p w14:paraId="63CB4A41"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 xml:space="preserve">2025, 10,45, </w:t>
      </w:r>
      <w:hyperlink r:id="rId35" w:history="1">
        <w:r w:rsidRPr="0041215D">
          <w:rPr>
            <w:rFonts w:ascii="Times New Roman" w:hAnsi="Times New Roman" w:cs="Times New Roman"/>
            <w:color w:val="1F497D"/>
            <w:sz w:val="20"/>
            <w:szCs w:val="20"/>
          </w:rPr>
          <w:t>https://jisem-journal.com/index.php/journal/article/view/8990</w:t>
        </w:r>
      </w:hyperlink>
    </w:p>
    <w:p w14:paraId="08EC8226"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 xml:space="preserve">Prem Kumar Sholapurapu. (2024). Ai-based financial risk assessment tools in project planning and execution. European Economic Letters (EEL), 14(1), 1995–2017. </w:t>
      </w:r>
      <w:hyperlink r:id="rId36" w:history="1">
        <w:r w:rsidRPr="0041215D">
          <w:rPr>
            <w:rFonts w:ascii="Times New Roman" w:hAnsi="Times New Roman" w:cs="Times New Roman"/>
            <w:color w:val="1F497D"/>
            <w:sz w:val="20"/>
            <w:szCs w:val="20"/>
          </w:rPr>
          <w:t>https://doi.org/10.52783/eel.v14i1.3001</w:t>
        </w:r>
      </w:hyperlink>
    </w:p>
    <w:p w14:paraId="744999CF"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S. Kumar, “Multi-Modal Healthcare Dataset for AI-Based Early Disease Risk Prediction,” IEEE Dataport, 2025, doi: 10.21227/p1q8-sd47</w:t>
      </w:r>
    </w:p>
    <w:p w14:paraId="469E8845"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S. Kumar, “FedGenCDSS Dataset For Federated Generative AI in Clinical Decision Support,” IEEE Dataport, Jul. 2025, doi: 10.21227/dwh7-df06</w:t>
      </w:r>
    </w:p>
    <w:p w14:paraId="4ADE9276"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 xml:space="preserve"> S. Kumar, “Edge-AI Sensor Dataset for Real-Time Fault Prediction in Smart Manufacturing,” IEEE Dataport, Jun. 2025, doi: 10.21227/s9yg-fv18</w:t>
      </w:r>
    </w:p>
    <w:p w14:paraId="57A59913"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S. Kumar, P. Muthukumar, S. S. Mernuri, R. R. Raja, Z. A. Salam, and N. S. Bode, “GPT-Powered Virtual Assistants for Intelligent Cloud Service Management,” 2025 IEEE Smart Conference on Artificial Intelligence and Sciences (SmartAIS), Honolulu, HI, USA, Oct. 2025, doi: 10.1109/SmartAIS61256.2025.11198967</w:t>
      </w:r>
    </w:p>
    <w:p w14:paraId="06EE5070"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 xml:space="preserve">S. Kumar, A. Bhattacharjee, R. Y. S. Pradhan, M. Sridharan, H. K. Verma, and Z. A. Alam, “Future of Human-AI Interaction: Bridging the Gap with LLMs and AR Integration,” 2025 IEEE Smart Conference on Artificial </w:t>
      </w:r>
      <w:r w:rsidRPr="0041215D">
        <w:rPr>
          <w:rFonts w:ascii="Times New Roman" w:hAnsi="Times New Roman" w:cs="Times New Roman"/>
          <w:color w:val="1F497D"/>
          <w:sz w:val="20"/>
          <w:szCs w:val="20"/>
        </w:rPr>
        <w:lastRenderedPageBreak/>
        <w:t>Intelligence and Sciences (SmartAIS), Indore, India, Oct. 2025, doi: 10.1109/SmartAIS61256.2025.11199115</w:t>
      </w:r>
    </w:p>
    <w:p w14:paraId="7F9086B1"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S. Kumar, “A Generative AI-Powered Digital Twin for Adaptive NASH Care,” Commun. ACM, Aug. 27, 2025,10.1145/3743154</w:t>
      </w:r>
    </w:p>
    <w:p w14:paraId="668C225E"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S. Kumar, M. Patel, B. B. Jayasingh, M. Kumar, Z. Balasm, and S. Bansal, “Fuzzy Logic-Driven Intelligent System for Uncertainty-Aware Decision Support Using Heterogeneous Data,” J. Mach. Comput., vol. 5, no. 4, 2025, doi: 10.53759/7669/jmc202505205</w:t>
      </w:r>
    </w:p>
    <w:p w14:paraId="290F69E9"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S. Kumar, “Generative AI in the Categorisation of Paediatric Pneumonia on Chest Radiographs,” Int. J. Curr. Sci. Res. Rev., vol. 8, no. 2, pp. 712–717, Feb. 2025, doi: 10.47191/ijcsrr/V8-i2-16</w:t>
      </w:r>
    </w:p>
    <w:p w14:paraId="4F5EC97D"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S. Kumar, “Generative AI Model for Chemotherapy-Induced Myelosuppression in Children,” Int. Res. J. Modern. Eng. Technol. Sci., vol. 7, no. 2, pp. 969–975, Feb. 2025, doi: 10.56726/IRJMETS67323</w:t>
      </w:r>
    </w:p>
    <w:p w14:paraId="0264A2F2"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S. Kumar, “Behavioral Therapies Using Generative AI and NLP for Substance Abuse Treatment and Recovery,” Int. Res. J. Modern. Eng. Technol. Sci., vol. 7, no. 1, pp. 4153–4162, Jan. 2025, doi: 10.56726/IRJMETS66672</w:t>
      </w:r>
    </w:p>
    <w:p w14:paraId="69CBCBEB"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S. Kumar, “Early Detection of Depression and Anxiety in the USA Using Generative AI,” Int. J. Res. Eng., vol. 7, pp. 1–7, Jan. 2025, 10.33545/26648776.2025.v7.i1a.65</w:t>
      </w:r>
    </w:p>
    <w:p w14:paraId="4A5AE471"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 xml:space="preserve">S. Kumar, “A Transformer-Enhanced Generative AI Framework for Lung Tumor Segmentation and Prognosis Prediction,” J. Neonatal Surg., vol. 13, no. 1, pp. 1569–1583, Jan. 2024. [Online]. Available: </w:t>
      </w:r>
      <w:hyperlink r:id="rId37" w:history="1">
        <w:r w:rsidRPr="0041215D">
          <w:rPr>
            <w:rFonts w:ascii="Times New Roman" w:hAnsi="Times New Roman" w:cs="Times New Roman"/>
            <w:color w:val="1F497D"/>
            <w:sz w:val="20"/>
            <w:szCs w:val="20"/>
          </w:rPr>
          <w:t>https://jneonatalsurg.com/index.php/jns/article/view/9460</w:t>
        </w:r>
      </w:hyperlink>
    </w:p>
    <w:p w14:paraId="1BFAAD60"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 xml:space="preserve">S. Kumar, “Adaptive Graph-LLM Fusion for Context-Aware Risk Assessment in Smart Industrial Networks,” Frontiers in Health Informatics, 2024. [Online]. Available: </w:t>
      </w:r>
      <w:hyperlink r:id="rId38" w:history="1">
        <w:r w:rsidRPr="0041215D">
          <w:rPr>
            <w:rFonts w:ascii="Times New Roman" w:hAnsi="Times New Roman" w:cs="Times New Roman"/>
            <w:color w:val="1F497D"/>
            <w:sz w:val="20"/>
            <w:szCs w:val="20"/>
          </w:rPr>
          <w:t>https://healthinformaticsjournal.com/index.php/IJMI/article/view/2813</w:t>
        </w:r>
      </w:hyperlink>
    </w:p>
    <w:p w14:paraId="7ADA0C0C" w14:textId="77777777" w:rsidR="0041215D"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 xml:space="preserve">Kumar, “A Federated and Explainable Deep Learning Framework for Multi-Institutional Cancer Diagnosis,” Journal of Neonatal Surgery, vol. 12, no. 1, pp. 119–135, Aug. 2023. [Online]. Available: </w:t>
      </w:r>
      <w:hyperlink r:id="rId39" w:history="1">
        <w:r w:rsidRPr="0041215D">
          <w:rPr>
            <w:rFonts w:ascii="Times New Roman" w:hAnsi="Times New Roman" w:cs="Times New Roman"/>
            <w:color w:val="1F497D"/>
            <w:sz w:val="20"/>
            <w:szCs w:val="20"/>
          </w:rPr>
          <w:t>https://jneonatalsurg.com/index.php/jns/article/view/9461</w:t>
        </w:r>
      </w:hyperlink>
    </w:p>
    <w:p w14:paraId="304E0EA1" w14:textId="1A0D0FD7" w:rsidR="00EC0771" w:rsidRPr="0041215D" w:rsidRDefault="0041215D" w:rsidP="0041215D">
      <w:pPr>
        <w:numPr>
          <w:ilvl w:val="0"/>
          <w:numId w:val="203"/>
        </w:numPr>
        <w:spacing w:after="0" w:line="240" w:lineRule="auto"/>
        <w:contextualSpacing/>
        <w:jc w:val="both"/>
        <w:rPr>
          <w:rFonts w:ascii="Times New Roman" w:hAnsi="Times New Roman" w:cs="Times New Roman"/>
          <w:color w:val="1F497D"/>
          <w:sz w:val="20"/>
          <w:szCs w:val="20"/>
        </w:rPr>
      </w:pPr>
      <w:r w:rsidRPr="0041215D">
        <w:rPr>
          <w:rFonts w:ascii="Times New Roman" w:hAnsi="Times New Roman" w:cs="Times New Roman"/>
          <w:color w:val="1F497D"/>
          <w:sz w:val="20"/>
          <w:szCs w:val="20"/>
        </w:rPr>
        <w:t>S. Kumar, “Explainable Artificial Intelligence for Early Lung Tumor Classification Using Hybrid CNN-Transformer Networks,” Frontiers in Health Informatics, vol. 12, pp. 484–504, 2023. [Online]. Available: https://healthinformaticsjournal.com/downloads/files/2023-484.pdf</w:t>
      </w:r>
    </w:p>
    <w:sectPr w:rsidR="00EC0771" w:rsidRPr="0041215D" w:rsidSect="00FC6EBC">
      <w:type w:val="continuous"/>
      <w:pgSz w:w="11906" w:h="16838" w:code="9"/>
      <w:pgMar w:top="1021" w:right="1066" w:bottom="964" w:left="1168" w:header="851" w:footer="77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54FF6" w14:textId="77777777" w:rsidR="00ED664C" w:rsidRDefault="00ED664C">
      <w:pPr>
        <w:spacing w:line="240" w:lineRule="auto"/>
      </w:pPr>
      <w:r>
        <w:separator/>
      </w:r>
    </w:p>
  </w:endnote>
  <w:endnote w:type="continuationSeparator" w:id="0">
    <w:p w14:paraId="576499D2" w14:textId="77777777" w:rsidR="00ED664C" w:rsidRDefault="00ED66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5AFF0" w14:textId="77777777" w:rsidR="00245175" w:rsidRDefault="00245175" w:rsidP="00245175">
    <w:pPr>
      <w:pBdr>
        <w:top w:val="single" w:sz="12" w:space="1" w:color="C00000"/>
      </w:pBdr>
      <w:tabs>
        <w:tab w:val="right" w:pos="9751"/>
      </w:tabs>
      <w:spacing w:after="0" w:line="240" w:lineRule="auto"/>
      <w:ind w:right="-6"/>
      <w:rPr>
        <w:rFonts w:ascii="Times New Roman" w:hAnsi="Times New Roman" w:cs="Times New Roman"/>
        <w:color w:val="1F497D"/>
        <w:sz w:val="20"/>
        <w:szCs w:val="20"/>
      </w:rPr>
    </w:pPr>
    <w:r>
      <w:rPr>
        <w:rFonts w:ascii="Times New Roman" w:hAnsi="Times New Roman" w:cs="Times New Roman"/>
        <w:b/>
        <w:i/>
        <w:color w:val="1F497D"/>
        <w:sz w:val="20"/>
        <w:szCs w:val="20"/>
      </w:rPr>
      <w:t>Advances in Consumer Research</w:t>
    </w:r>
    <w:r>
      <w:rPr>
        <w:rFonts w:ascii="Times New Roman" w:hAnsi="Times New Roman" w:cs="Times New Roman"/>
        <w:color w:val="1F497D"/>
        <w:sz w:val="20"/>
        <w:szCs w:val="20"/>
      </w:rPr>
      <w:t xml:space="preserve"> </w:t>
    </w:r>
    <w:r>
      <w:rPr>
        <w:rFonts w:ascii="Times New Roman" w:hAnsi="Times New Roman" w:cs="Times New Roman"/>
        <w:color w:val="1F497D"/>
        <w:sz w:val="20"/>
        <w:szCs w:val="20"/>
      </w:rPr>
      <w:tab/>
      <w:t xml:space="preserve">                          </w:t>
    </w:r>
    <w:sdt>
      <w:sdtPr>
        <w:rPr>
          <w:rFonts w:ascii="Times New Roman" w:hAnsi="Times New Roman" w:cs="Times New Roman"/>
          <w:color w:val="1F497D"/>
          <w:sz w:val="20"/>
          <w:szCs w:val="20"/>
        </w:rPr>
        <w:id w:val="739069906"/>
        <w:docPartObj>
          <w:docPartGallery w:val="AutoText"/>
        </w:docPartObj>
      </w:sdtPr>
      <w:sdtContent>
        <w:r>
          <w:rPr>
            <w:rFonts w:ascii="Times New Roman" w:hAnsi="Times New Roman" w:cs="Times New Roman"/>
            <w:color w:val="1F497D"/>
            <w:sz w:val="20"/>
            <w:szCs w:val="20"/>
          </w:rPr>
          <w:fldChar w:fldCharType="begin"/>
        </w:r>
        <w:r>
          <w:rPr>
            <w:rFonts w:ascii="Times New Roman" w:hAnsi="Times New Roman" w:cs="Times New Roman"/>
            <w:color w:val="1F497D"/>
            <w:sz w:val="20"/>
            <w:szCs w:val="20"/>
          </w:rPr>
          <w:instrText xml:space="preserve"> PAGE   \* MERGEFORMAT </w:instrText>
        </w:r>
        <w:r>
          <w:rPr>
            <w:rFonts w:ascii="Times New Roman" w:hAnsi="Times New Roman" w:cs="Times New Roman"/>
            <w:color w:val="1F497D"/>
            <w:sz w:val="20"/>
            <w:szCs w:val="20"/>
          </w:rPr>
          <w:fldChar w:fldCharType="separate"/>
        </w:r>
        <w:r>
          <w:rPr>
            <w:rFonts w:ascii="Times New Roman" w:hAnsi="Times New Roman" w:cs="Times New Roman"/>
            <w:color w:val="1F497D"/>
            <w:sz w:val="20"/>
            <w:szCs w:val="20"/>
          </w:rPr>
          <w:t>1</w:t>
        </w:r>
        <w:r>
          <w:rPr>
            <w:rFonts w:ascii="Times New Roman" w:hAnsi="Times New Roman" w:cs="Times New Roman"/>
            <w:color w:val="1F497D"/>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7A961" w14:textId="77777777" w:rsidR="00245175" w:rsidRDefault="00245175" w:rsidP="00245175">
    <w:pPr>
      <w:pBdr>
        <w:top w:val="single" w:sz="12" w:space="1" w:color="C00000"/>
      </w:pBdr>
      <w:tabs>
        <w:tab w:val="right" w:pos="9751"/>
      </w:tabs>
      <w:spacing w:after="0" w:line="240" w:lineRule="auto"/>
      <w:ind w:right="-6"/>
      <w:rPr>
        <w:rFonts w:ascii="Times New Roman" w:hAnsi="Times New Roman" w:cs="Times New Roman"/>
        <w:color w:val="1F497D"/>
        <w:sz w:val="20"/>
        <w:szCs w:val="20"/>
      </w:rPr>
    </w:pPr>
    <w:r>
      <w:rPr>
        <w:rFonts w:ascii="Times New Roman" w:hAnsi="Times New Roman" w:cs="Times New Roman"/>
        <w:b/>
        <w:i/>
        <w:color w:val="1F497D"/>
        <w:sz w:val="20"/>
        <w:szCs w:val="20"/>
      </w:rPr>
      <w:t>Advances in Consumer Research</w:t>
    </w:r>
    <w:r>
      <w:rPr>
        <w:rFonts w:ascii="Times New Roman" w:hAnsi="Times New Roman" w:cs="Times New Roman"/>
        <w:color w:val="1F497D"/>
        <w:sz w:val="20"/>
        <w:szCs w:val="20"/>
      </w:rPr>
      <w:t xml:space="preserve"> </w:t>
    </w:r>
    <w:r>
      <w:rPr>
        <w:rFonts w:ascii="Times New Roman" w:hAnsi="Times New Roman" w:cs="Times New Roman"/>
        <w:color w:val="1F497D"/>
        <w:sz w:val="20"/>
        <w:szCs w:val="20"/>
      </w:rPr>
      <w:tab/>
      <w:t xml:space="preserve">                          </w:t>
    </w:r>
    <w:sdt>
      <w:sdtPr>
        <w:rPr>
          <w:rFonts w:ascii="Times New Roman" w:hAnsi="Times New Roman" w:cs="Times New Roman"/>
          <w:color w:val="1F497D"/>
          <w:sz w:val="20"/>
          <w:szCs w:val="20"/>
        </w:rPr>
        <w:id w:val="-82606203"/>
        <w:docPartObj>
          <w:docPartGallery w:val="AutoText"/>
        </w:docPartObj>
      </w:sdtPr>
      <w:sdtContent>
        <w:r>
          <w:rPr>
            <w:rFonts w:ascii="Times New Roman" w:hAnsi="Times New Roman" w:cs="Times New Roman"/>
            <w:color w:val="1F497D"/>
            <w:sz w:val="20"/>
            <w:szCs w:val="20"/>
          </w:rPr>
          <w:fldChar w:fldCharType="begin"/>
        </w:r>
        <w:r>
          <w:rPr>
            <w:rFonts w:ascii="Times New Roman" w:hAnsi="Times New Roman" w:cs="Times New Roman"/>
            <w:color w:val="1F497D"/>
            <w:sz w:val="20"/>
            <w:szCs w:val="20"/>
          </w:rPr>
          <w:instrText xml:space="preserve"> PAGE   \* MERGEFORMAT </w:instrText>
        </w:r>
        <w:r>
          <w:rPr>
            <w:rFonts w:ascii="Times New Roman" w:hAnsi="Times New Roman" w:cs="Times New Roman"/>
            <w:color w:val="1F497D"/>
            <w:sz w:val="20"/>
            <w:szCs w:val="20"/>
          </w:rPr>
          <w:fldChar w:fldCharType="separate"/>
        </w:r>
        <w:r>
          <w:rPr>
            <w:rFonts w:ascii="Times New Roman" w:hAnsi="Times New Roman" w:cs="Times New Roman"/>
            <w:color w:val="1F497D"/>
            <w:sz w:val="20"/>
            <w:szCs w:val="20"/>
          </w:rPr>
          <w:t>1</w:t>
        </w:r>
        <w:r>
          <w:rPr>
            <w:rFonts w:ascii="Times New Roman" w:hAnsi="Times New Roman" w:cs="Times New Roman"/>
            <w:color w:val="1F497D"/>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0DC6B" w14:textId="77777777" w:rsidR="00ED664C" w:rsidRDefault="00ED664C">
      <w:pPr>
        <w:spacing w:after="0"/>
      </w:pPr>
      <w:r>
        <w:separator/>
      </w:r>
    </w:p>
  </w:footnote>
  <w:footnote w:type="continuationSeparator" w:id="0">
    <w:p w14:paraId="70603126" w14:textId="77777777" w:rsidR="00ED664C" w:rsidRDefault="00ED664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8467A" w14:textId="32D9DD0B" w:rsidR="00245175" w:rsidRPr="00AD2957" w:rsidRDefault="00245175" w:rsidP="00245175">
    <w:pPr>
      <w:pStyle w:val="BodyText"/>
      <w:jc w:val="both"/>
      <w:rPr>
        <w:bCs/>
        <w:iCs/>
        <w:color w:val="1F497D"/>
        <w:sz w:val="18"/>
        <w:szCs w:val="18"/>
      </w:rPr>
    </w:pPr>
    <w:r w:rsidRPr="00AD2957">
      <w:rPr>
        <w:bCs/>
        <w:iCs/>
        <w:color w:val="1F497D"/>
        <w:sz w:val="18"/>
        <w:szCs w:val="18"/>
      </w:rPr>
      <w:t xml:space="preserve">How to cite: </w:t>
    </w:r>
    <w:r w:rsidR="0041215D" w:rsidRPr="0041215D">
      <w:rPr>
        <w:iCs/>
        <w:color w:val="1F497D"/>
        <w:sz w:val="18"/>
        <w:szCs w:val="18"/>
        <w:lang w:val="en-IN"/>
      </w:rPr>
      <w:t>Sreeram Daida</w:t>
    </w:r>
    <w:r w:rsidR="000C5631">
      <w:rPr>
        <w:iCs/>
        <w:color w:val="1F497D"/>
        <w:sz w:val="18"/>
        <w:szCs w:val="18"/>
        <w:lang w:val="en-IN"/>
      </w:rPr>
      <w:t xml:space="preserve">, </w:t>
    </w:r>
    <w:r w:rsidR="000C5631" w:rsidRPr="000C5631">
      <w:rPr>
        <w:i/>
        <w:color w:val="1F497D"/>
        <w:sz w:val="18"/>
        <w:szCs w:val="18"/>
        <w:lang w:val="en-IN"/>
      </w:rPr>
      <w:t>et, al</w:t>
    </w:r>
    <w:r w:rsidR="00AD2957" w:rsidRPr="00AD2957">
      <w:rPr>
        <w:iCs/>
        <w:color w:val="1F497D"/>
        <w:sz w:val="18"/>
        <w:szCs w:val="18"/>
        <w:lang w:val="en-IN"/>
      </w:rPr>
      <w:t xml:space="preserve">. </w:t>
    </w:r>
    <w:r w:rsidR="0041215D" w:rsidRPr="0041215D">
      <w:rPr>
        <w:iCs/>
        <w:color w:val="1F497D"/>
        <w:sz w:val="18"/>
        <w:szCs w:val="18"/>
        <w:lang w:val="en-IN"/>
      </w:rPr>
      <w:t>Behavioral Finance and Investor Psychology: Understanding Market Volatility in Crisis Scenarios</w:t>
    </w:r>
    <w:r w:rsidR="00AD2957" w:rsidRPr="00AD2957">
      <w:rPr>
        <w:iCs/>
        <w:color w:val="1F497D"/>
        <w:sz w:val="18"/>
        <w:szCs w:val="18"/>
        <w:lang w:val="en-IN"/>
      </w:rPr>
      <w:t xml:space="preserve">. </w:t>
    </w:r>
    <w:r w:rsidR="00AD2957" w:rsidRPr="00AD2957">
      <w:rPr>
        <w:i/>
        <w:iCs/>
        <w:color w:val="1F497D"/>
        <w:sz w:val="18"/>
        <w:szCs w:val="18"/>
        <w:lang w:val="en-IN"/>
      </w:rPr>
      <w:t>Advances in Consumer Research</w:t>
    </w:r>
    <w:r w:rsidR="00AD2957" w:rsidRPr="00AD2957">
      <w:rPr>
        <w:iCs/>
        <w:color w:val="1F497D"/>
        <w:sz w:val="18"/>
        <w:szCs w:val="18"/>
        <w:lang w:val="en-IN"/>
      </w:rPr>
      <w:t>. 2025;2(5):</w:t>
    </w:r>
    <w:r w:rsidR="00DF03F4">
      <w:rPr>
        <w:iCs/>
        <w:color w:val="1F497D"/>
        <w:sz w:val="18"/>
        <w:szCs w:val="18"/>
        <w:lang w:val="en-IN"/>
      </w:rPr>
      <w:t>851</w:t>
    </w:r>
    <w:r w:rsidR="00AD2957" w:rsidRPr="00AD2957">
      <w:rPr>
        <w:iCs/>
        <w:color w:val="1F497D"/>
        <w:sz w:val="18"/>
        <w:szCs w:val="18"/>
        <w:lang w:val="en-IN"/>
      </w:rPr>
      <w:t>–</w:t>
    </w:r>
    <w:r w:rsidR="00DF03F4">
      <w:rPr>
        <w:iCs/>
        <w:color w:val="1F497D"/>
        <w:sz w:val="18"/>
        <w:szCs w:val="18"/>
        <w:lang w:val="en-IN"/>
      </w:rPr>
      <w:t>863</w:t>
    </w:r>
    <w:r w:rsidR="00AD2957" w:rsidRPr="00AD2957">
      <w:rPr>
        <w:iCs/>
        <w:color w:val="1F497D"/>
        <w:sz w:val="18"/>
        <w:szCs w:val="18"/>
        <w:lang w:val="en-IN"/>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E67F8" w14:textId="77777777" w:rsidR="00245175" w:rsidRDefault="00245175" w:rsidP="00245175">
    <w:pPr>
      <w:spacing w:after="0" w:line="240" w:lineRule="auto"/>
      <w:rPr>
        <w:rFonts w:ascii="Times New Roman" w:hAnsi="Times New Roman" w:cs="Times New Roman"/>
        <w:color w:val="1F497D"/>
      </w:rPr>
    </w:pPr>
    <w:r>
      <w:rPr>
        <w:rFonts w:ascii="Times New Roman" w:hAnsi="Times New Roman" w:cs="Times New Roman"/>
        <w:b/>
        <w:i/>
        <w:color w:val="1F497D"/>
        <w:sz w:val="32"/>
      </w:rPr>
      <w:t>Advances in Consumer Research</w:t>
    </w:r>
    <w:r>
      <w:rPr>
        <w:rFonts w:ascii="Times New Roman" w:hAnsi="Times New Roman" w:cs="Times New Roman"/>
        <w:b/>
        <w:color w:val="1F497D"/>
        <w:sz w:val="32"/>
      </w:rPr>
      <w:t xml:space="preserve"> </w:t>
    </w:r>
  </w:p>
  <w:p w14:paraId="7D07803D" w14:textId="77777777" w:rsidR="00245175" w:rsidRDefault="00000000" w:rsidP="00245175">
    <w:pPr>
      <w:tabs>
        <w:tab w:val="center" w:pos="9614"/>
      </w:tabs>
      <w:spacing w:after="0" w:line="240" w:lineRule="auto"/>
      <w:rPr>
        <w:rFonts w:ascii="Times New Roman" w:hAnsi="Times New Roman" w:cs="Times New Roman"/>
        <w:color w:val="1F497D"/>
      </w:rPr>
    </w:pPr>
    <w:hyperlink r:id="rId1">
      <w:r w:rsidR="00245175">
        <w:rPr>
          <w:rFonts w:ascii="Times New Roman" w:eastAsia="Calibri" w:hAnsi="Times New Roman" w:cs="Times New Roman"/>
          <w:color w:val="1F497D"/>
          <w:u w:val="single" w:color="1F497D"/>
        </w:rPr>
        <w:t>https://acr</w:t>
      </w:r>
    </w:hyperlink>
    <w:hyperlink r:id="rId2">
      <w:r w:rsidR="00245175">
        <w:rPr>
          <w:rFonts w:ascii="Times New Roman" w:eastAsia="Calibri" w:hAnsi="Times New Roman" w:cs="Times New Roman"/>
          <w:color w:val="1F497D"/>
          <w:u w:val="single" w:color="1F497D"/>
        </w:rPr>
        <w:t>-</w:t>
      </w:r>
    </w:hyperlink>
    <w:hyperlink r:id="rId3">
      <w:r w:rsidR="00245175">
        <w:rPr>
          <w:rFonts w:ascii="Times New Roman" w:eastAsia="Calibri" w:hAnsi="Times New Roman" w:cs="Times New Roman"/>
          <w:color w:val="1F497D"/>
          <w:u w:val="single" w:color="1F497D"/>
        </w:rPr>
        <w:t>journal.com/</w:t>
      </w:r>
    </w:hyperlink>
    <w:hyperlink r:id="rId4">
      <w:r w:rsidR="00245175">
        <w:rPr>
          <w:rFonts w:ascii="Times New Roman" w:eastAsia="Calibri" w:hAnsi="Times New Roman" w:cs="Times New Roman"/>
          <w:color w:val="1F497D"/>
        </w:rPr>
        <w:t xml:space="preserve"> </w:t>
      </w:r>
    </w:hyperlink>
    <w:r w:rsidR="00245175">
      <w:rPr>
        <w:rFonts w:ascii="Times New Roman" w:eastAsia="Calibri" w:hAnsi="Times New Roman" w:cs="Times New Roman"/>
        <w:color w:val="1F497D"/>
      </w:rPr>
      <w:tab/>
    </w:r>
    <w:r w:rsidR="00245175">
      <w:rPr>
        <w:rFonts w:ascii="Times New Roman" w:hAnsi="Times New Roman" w:cs="Times New Roman"/>
        <w:color w:val="1F497D"/>
      </w:rPr>
      <w:t xml:space="preserve"> </w:t>
    </w:r>
  </w:p>
  <w:p w14:paraId="23CF9AA0" w14:textId="77777777" w:rsidR="00245175" w:rsidRDefault="00245175" w:rsidP="00245175">
    <w:pPr>
      <w:tabs>
        <w:tab w:val="right" w:pos="9751"/>
      </w:tabs>
      <w:spacing w:after="0" w:line="240" w:lineRule="auto"/>
      <w:rPr>
        <w:rFonts w:ascii="Times New Roman" w:hAnsi="Times New Roman" w:cs="Times New Roman"/>
        <w:color w:val="1F497D"/>
        <w:sz w:val="20"/>
        <w:szCs w:val="20"/>
      </w:rPr>
    </w:pPr>
    <w:r>
      <w:rPr>
        <w:rFonts w:ascii="Times New Roman" w:hAnsi="Times New Roman" w:cs="Times New Roman"/>
        <w:color w:val="1F497D"/>
        <w:vertAlign w:val="superscript"/>
      </w:rPr>
      <w:t xml:space="preserve"> </w:t>
    </w:r>
    <w:r>
      <w:rPr>
        <w:rFonts w:ascii="Times New Roman" w:hAnsi="Times New Roman" w:cs="Times New Roman"/>
        <w:color w:val="1F497D"/>
      </w:rPr>
      <w:t xml:space="preserve"> </w:t>
    </w:r>
    <w:r>
      <w:rPr>
        <w:rFonts w:ascii="Times New Roman" w:hAnsi="Times New Roman" w:cs="Times New Roman"/>
        <w:color w:val="1F497D"/>
      </w:rPr>
      <w:tab/>
    </w:r>
    <w:r>
      <w:rPr>
        <w:rFonts w:ascii="Times New Roman" w:hAnsi="Times New Roman" w:cs="Times New Roman"/>
        <w:color w:val="1F497D"/>
        <w:sz w:val="20"/>
        <w:szCs w:val="20"/>
      </w:rPr>
      <w:t>Volume-2 | Issue-5 | October 2025</w:t>
    </w:r>
  </w:p>
  <w:tbl>
    <w:tblPr>
      <w:tblStyle w:val="TableGrid0"/>
      <w:tblW w:w="9879" w:type="dxa"/>
      <w:tblInd w:w="-29" w:type="dxa"/>
      <w:tblCellMar>
        <w:top w:w="89" w:type="dxa"/>
        <w:right w:w="2" w:type="dxa"/>
      </w:tblCellMar>
      <w:tblLook w:val="04A0" w:firstRow="1" w:lastRow="0" w:firstColumn="1" w:lastColumn="0" w:noHBand="0" w:noVBand="1"/>
    </w:tblPr>
    <w:tblGrid>
      <w:gridCol w:w="2252"/>
      <w:gridCol w:w="7627"/>
    </w:tblGrid>
    <w:tr w:rsidR="00245175" w14:paraId="57D0C8F2" w14:textId="77777777" w:rsidTr="00B64A56">
      <w:trPr>
        <w:trHeight w:val="173"/>
      </w:trPr>
      <w:tc>
        <w:tcPr>
          <w:tcW w:w="2252" w:type="dxa"/>
          <w:tcBorders>
            <w:top w:val="single" w:sz="16" w:space="0" w:color="A42510"/>
            <w:left w:val="nil"/>
            <w:bottom w:val="nil"/>
            <w:right w:val="nil"/>
          </w:tcBorders>
          <w:shd w:val="clear" w:color="auto" w:fill="001746"/>
        </w:tcPr>
        <w:p w14:paraId="6E6BA657" w14:textId="77777777" w:rsidR="00245175" w:rsidRDefault="00245175" w:rsidP="00245175">
          <w:pPr>
            <w:spacing w:after="0" w:line="240" w:lineRule="auto"/>
            <w:rPr>
              <w:rFonts w:ascii="Times New Roman" w:hAnsi="Times New Roman" w:cs="Times New Roman"/>
            </w:rPr>
          </w:pPr>
          <w:r>
            <w:rPr>
              <w:rFonts w:ascii="Times New Roman" w:eastAsia="Palatino Linotype" w:hAnsi="Times New Roman" w:cs="Times New Roman"/>
              <w:b/>
              <w:i/>
              <w:color w:val="FFFFFF"/>
              <w:sz w:val="18"/>
            </w:rPr>
            <w:t>Original Researcher Article</w:t>
          </w:r>
        </w:p>
      </w:tc>
      <w:tc>
        <w:tcPr>
          <w:tcW w:w="7627" w:type="dxa"/>
          <w:tcBorders>
            <w:top w:val="single" w:sz="16" w:space="0" w:color="A42510"/>
            <w:left w:val="nil"/>
            <w:bottom w:val="nil"/>
            <w:right w:val="nil"/>
          </w:tcBorders>
          <w:shd w:val="clear" w:color="auto" w:fill="001746"/>
        </w:tcPr>
        <w:p w14:paraId="32D95CFB" w14:textId="77777777" w:rsidR="00245175" w:rsidRDefault="00245175" w:rsidP="00245175">
          <w:pPr>
            <w:spacing w:after="0" w:line="240" w:lineRule="auto"/>
            <w:rPr>
              <w:rFonts w:ascii="Times New Roman" w:hAnsi="Times New Roman" w:cs="Times New Roman"/>
            </w:rPr>
          </w:pPr>
          <w:r>
            <w:rPr>
              <w:rFonts w:ascii="Times New Roman" w:eastAsia="Palatino Linotype" w:hAnsi="Times New Roman" w:cs="Times New Roman"/>
              <w:b/>
              <w:i/>
              <w:color w:val="FFFFFF"/>
              <w:sz w:val="18"/>
            </w:rPr>
            <w:t xml:space="preserve">                                                                                                                          </w:t>
          </w:r>
        </w:p>
      </w:tc>
    </w:tr>
  </w:tbl>
  <w:p w14:paraId="7FB9DBDA" w14:textId="77777777" w:rsidR="00245175" w:rsidRDefault="00245175" w:rsidP="00245175">
    <w:pPr>
      <w:tabs>
        <w:tab w:val="right" w:pos="9751"/>
      </w:tabs>
      <w:spacing w:after="0" w:line="240" w:lineRule="auto"/>
      <w:rPr>
        <w:rFonts w:ascii="Times New Roman" w:hAnsi="Times New Roman" w:cs="Times New Roman"/>
        <w:color w:val="1F497D"/>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29CB78E"/>
    <w:multiLevelType w:val="singleLevel"/>
    <w:tmpl w:val="A29CB78E"/>
    <w:lvl w:ilvl="0">
      <w:start w:val="1"/>
      <w:numFmt w:val="decimal"/>
      <w:suff w:val="space"/>
      <w:lvlText w:val="(%1)"/>
      <w:lvlJc w:val="left"/>
    </w:lvl>
  </w:abstractNum>
  <w:abstractNum w:abstractNumId="1" w15:restartNumberingAfterBreak="0">
    <w:nsid w:val="EDA85F98"/>
    <w:multiLevelType w:val="singleLevel"/>
    <w:tmpl w:val="EDA85F98"/>
    <w:lvl w:ilvl="0">
      <w:start w:val="4"/>
      <w:numFmt w:val="decimal"/>
      <w:suff w:val="space"/>
      <w:lvlText w:val="%1."/>
      <w:lvlJc w:val="left"/>
    </w:lvl>
  </w:abstractNum>
  <w:abstractNum w:abstractNumId="2" w15:restartNumberingAfterBreak="0">
    <w:nsid w:val="00000001"/>
    <w:multiLevelType w:val="multilevel"/>
    <w:tmpl w:val="00000001"/>
    <w:lvl w:ilvl="0">
      <w:start w:val="1"/>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15:restartNumberingAfterBreak="0">
    <w:nsid w:val="00000003"/>
    <w:multiLevelType w:val="multilevel"/>
    <w:tmpl w:val="9D86B5E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00000005"/>
    <w:multiLevelType w:val="multilevel"/>
    <w:tmpl w:val="88F0011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00000007"/>
    <w:multiLevelType w:val="multilevel"/>
    <w:tmpl w:val="4D02CAB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00000008"/>
    <w:multiLevelType w:val="multilevel"/>
    <w:tmpl w:val="A9F2208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7" w15:restartNumberingAfterBreak="0">
    <w:nsid w:val="00000009"/>
    <w:multiLevelType w:val="multilevel"/>
    <w:tmpl w:val="2C0C53D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0000000A"/>
    <w:multiLevelType w:val="multilevel"/>
    <w:tmpl w:val="33083CC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0000000C"/>
    <w:multiLevelType w:val="multilevel"/>
    <w:tmpl w:val="45E0F17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0000000F"/>
    <w:multiLevelType w:val="multilevel"/>
    <w:tmpl w:val="B45CC31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00000010"/>
    <w:multiLevelType w:val="multilevel"/>
    <w:tmpl w:val="95A6A55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00000011"/>
    <w:multiLevelType w:val="multilevel"/>
    <w:tmpl w:val="AF7E19E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00000012"/>
    <w:multiLevelType w:val="multilevel"/>
    <w:tmpl w:val="3A58BCD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00000014"/>
    <w:multiLevelType w:val="multilevel"/>
    <w:tmpl w:val="C81C5CF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5" w15:restartNumberingAfterBreak="0">
    <w:nsid w:val="00000015"/>
    <w:multiLevelType w:val="multilevel"/>
    <w:tmpl w:val="20E40E5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6" w15:restartNumberingAfterBreak="0">
    <w:nsid w:val="00000016"/>
    <w:multiLevelType w:val="multilevel"/>
    <w:tmpl w:val="26E0BA3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00000018"/>
    <w:multiLevelType w:val="multilevel"/>
    <w:tmpl w:val="9D4E3BC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8" w15:restartNumberingAfterBreak="0">
    <w:nsid w:val="0000001A"/>
    <w:multiLevelType w:val="multilevel"/>
    <w:tmpl w:val="8E861E4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0000001D"/>
    <w:multiLevelType w:val="multilevel"/>
    <w:tmpl w:val="4B100B5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0" w15:restartNumberingAfterBreak="0">
    <w:nsid w:val="0000001E"/>
    <w:multiLevelType w:val="multilevel"/>
    <w:tmpl w:val="E8689A6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0000001F"/>
    <w:multiLevelType w:val="multilevel"/>
    <w:tmpl w:val="8908689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00000020"/>
    <w:multiLevelType w:val="multilevel"/>
    <w:tmpl w:val="E472690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3" w15:restartNumberingAfterBreak="0">
    <w:nsid w:val="00000021"/>
    <w:multiLevelType w:val="multilevel"/>
    <w:tmpl w:val="8C70396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4" w15:restartNumberingAfterBreak="0">
    <w:nsid w:val="00000022"/>
    <w:multiLevelType w:val="multilevel"/>
    <w:tmpl w:val="BF10430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0000A991"/>
    <w:multiLevelType w:val="multilevel"/>
    <w:tmpl w:val="A22CD9D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6" w15:restartNumberingAfterBreak="0">
    <w:nsid w:val="00432BC2"/>
    <w:multiLevelType w:val="multilevel"/>
    <w:tmpl w:val="EF4837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00A99201"/>
    <w:multiLevelType w:val="multilevel"/>
    <w:tmpl w:val="3528AB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8" w15:restartNumberingAfterBreak="0">
    <w:nsid w:val="00D47F65"/>
    <w:multiLevelType w:val="hybridMultilevel"/>
    <w:tmpl w:val="D542D1B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01165459"/>
    <w:multiLevelType w:val="multilevel"/>
    <w:tmpl w:val="0116545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012233D8"/>
    <w:multiLevelType w:val="hybridMultilevel"/>
    <w:tmpl w:val="4D842BC0"/>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1" w15:restartNumberingAfterBreak="0">
    <w:nsid w:val="02885AC5"/>
    <w:multiLevelType w:val="multilevel"/>
    <w:tmpl w:val="F872C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3AA3E2C"/>
    <w:multiLevelType w:val="hybridMultilevel"/>
    <w:tmpl w:val="C5B4FFF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03F87C51"/>
    <w:multiLevelType w:val="multilevel"/>
    <w:tmpl w:val="F21A4F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0476479A"/>
    <w:multiLevelType w:val="multilevel"/>
    <w:tmpl w:val="2932D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4D50F8A"/>
    <w:multiLevelType w:val="hybridMultilevel"/>
    <w:tmpl w:val="16D68A3A"/>
    <w:lvl w:ilvl="0" w:tplc="ECA4DA60">
      <w:start w:val="4"/>
      <w:numFmt w:val="decimal"/>
      <w:lvlText w:val="%1."/>
      <w:lvlJc w:val="left"/>
      <w:pPr>
        <w:ind w:left="360" w:hanging="360"/>
      </w:pPr>
      <w:rPr>
        <w:rFonts w:eastAsiaTheme="minorEastAsia" w:cstheme="minorBidi" w:hint="default"/>
        <w:b/>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6" w15:restartNumberingAfterBreak="0">
    <w:nsid w:val="061F042D"/>
    <w:multiLevelType w:val="multilevel"/>
    <w:tmpl w:val="C40EC9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067575A9"/>
    <w:multiLevelType w:val="hybridMultilevel"/>
    <w:tmpl w:val="26C476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073A73FD"/>
    <w:multiLevelType w:val="hybridMultilevel"/>
    <w:tmpl w:val="238E77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07725895"/>
    <w:multiLevelType w:val="hybridMultilevel"/>
    <w:tmpl w:val="19867A7E"/>
    <w:lvl w:ilvl="0" w:tplc="D9C0174A">
      <w:start w:val="1"/>
      <w:numFmt w:val="bullet"/>
      <w:lvlText w:val=""/>
      <w:lvlJc w:val="left"/>
      <w:pPr>
        <w:ind w:left="360" w:hanging="360"/>
      </w:pPr>
      <w:rPr>
        <w:rFonts w:ascii="Symbol" w:hAnsi="Symbol" w:hint="default"/>
        <w:sz w:val="24"/>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abstractNum w:abstractNumId="40" w15:restartNumberingAfterBreak="0">
    <w:nsid w:val="08210105"/>
    <w:multiLevelType w:val="hybridMultilevel"/>
    <w:tmpl w:val="4970ACD4"/>
    <w:lvl w:ilvl="0" w:tplc="04090009">
      <w:start w:val="1"/>
      <w:numFmt w:val="bullet"/>
      <w:lvlText w:val=""/>
      <w:lvlJc w:val="left"/>
      <w:pPr>
        <w:ind w:left="36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1" w15:restartNumberingAfterBreak="0">
    <w:nsid w:val="08427C2C"/>
    <w:multiLevelType w:val="multilevel"/>
    <w:tmpl w:val="08427C2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09E54345"/>
    <w:multiLevelType w:val="hybridMultilevel"/>
    <w:tmpl w:val="EB04C018"/>
    <w:lvl w:ilvl="0" w:tplc="8112F00A">
      <w:start w:val="1"/>
      <w:numFmt w:val="decimal"/>
      <w:lvlText w:val="%1."/>
      <w:lvlJc w:val="left"/>
      <w:pPr>
        <w:ind w:left="360" w:hanging="360"/>
      </w:pPr>
      <w:rPr>
        <w:rFonts w:hAnsi="Symbol"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3" w15:restartNumberingAfterBreak="0">
    <w:nsid w:val="0B7A0378"/>
    <w:multiLevelType w:val="multilevel"/>
    <w:tmpl w:val="9686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BA868E4"/>
    <w:multiLevelType w:val="multilevel"/>
    <w:tmpl w:val="0BA868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0C37419B"/>
    <w:multiLevelType w:val="multilevel"/>
    <w:tmpl w:val="53068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E672C43"/>
    <w:multiLevelType w:val="hybridMultilevel"/>
    <w:tmpl w:val="80BC473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7" w15:restartNumberingAfterBreak="0">
    <w:nsid w:val="0E6F63E2"/>
    <w:multiLevelType w:val="hybridMultilevel"/>
    <w:tmpl w:val="69E4B514"/>
    <w:lvl w:ilvl="0" w:tplc="5A665FA2">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0E8A7D1D"/>
    <w:multiLevelType w:val="hybridMultilevel"/>
    <w:tmpl w:val="16729B18"/>
    <w:lvl w:ilvl="0" w:tplc="86E8010C">
      <w:start w:val="1"/>
      <w:numFmt w:val="bullet"/>
      <w:lvlText w:val="•"/>
      <w:lvlJc w:val="left"/>
      <w:pPr>
        <w:tabs>
          <w:tab w:val="num" w:pos="360"/>
        </w:tabs>
        <w:ind w:left="360" w:hanging="360"/>
      </w:pPr>
      <w:rPr>
        <w:rFonts w:ascii="Arial" w:hAnsi="Arial" w:hint="default"/>
      </w:rPr>
    </w:lvl>
    <w:lvl w:ilvl="1" w:tplc="8FD08AB0" w:tentative="1">
      <w:start w:val="1"/>
      <w:numFmt w:val="bullet"/>
      <w:lvlText w:val="•"/>
      <w:lvlJc w:val="left"/>
      <w:pPr>
        <w:tabs>
          <w:tab w:val="num" w:pos="1080"/>
        </w:tabs>
        <w:ind w:left="1080" w:hanging="360"/>
      </w:pPr>
      <w:rPr>
        <w:rFonts w:ascii="Arial" w:hAnsi="Arial" w:hint="default"/>
      </w:rPr>
    </w:lvl>
    <w:lvl w:ilvl="2" w:tplc="1EA616A0" w:tentative="1">
      <w:start w:val="1"/>
      <w:numFmt w:val="bullet"/>
      <w:lvlText w:val="•"/>
      <w:lvlJc w:val="left"/>
      <w:pPr>
        <w:tabs>
          <w:tab w:val="num" w:pos="1800"/>
        </w:tabs>
        <w:ind w:left="1800" w:hanging="360"/>
      </w:pPr>
      <w:rPr>
        <w:rFonts w:ascii="Arial" w:hAnsi="Arial" w:hint="default"/>
      </w:rPr>
    </w:lvl>
    <w:lvl w:ilvl="3" w:tplc="58760ACE" w:tentative="1">
      <w:start w:val="1"/>
      <w:numFmt w:val="bullet"/>
      <w:lvlText w:val="•"/>
      <w:lvlJc w:val="left"/>
      <w:pPr>
        <w:tabs>
          <w:tab w:val="num" w:pos="2520"/>
        </w:tabs>
        <w:ind w:left="2520" w:hanging="360"/>
      </w:pPr>
      <w:rPr>
        <w:rFonts w:ascii="Arial" w:hAnsi="Arial" w:hint="default"/>
      </w:rPr>
    </w:lvl>
    <w:lvl w:ilvl="4" w:tplc="D1DC9ECA" w:tentative="1">
      <w:start w:val="1"/>
      <w:numFmt w:val="bullet"/>
      <w:lvlText w:val="•"/>
      <w:lvlJc w:val="left"/>
      <w:pPr>
        <w:tabs>
          <w:tab w:val="num" w:pos="3240"/>
        </w:tabs>
        <w:ind w:left="3240" w:hanging="360"/>
      </w:pPr>
      <w:rPr>
        <w:rFonts w:ascii="Arial" w:hAnsi="Arial" w:hint="default"/>
      </w:rPr>
    </w:lvl>
    <w:lvl w:ilvl="5" w:tplc="375074BE" w:tentative="1">
      <w:start w:val="1"/>
      <w:numFmt w:val="bullet"/>
      <w:lvlText w:val="•"/>
      <w:lvlJc w:val="left"/>
      <w:pPr>
        <w:tabs>
          <w:tab w:val="num" w:pos="3960"/>
        </w:tabs>
        <w:ind w:left="3960" w:hanging="360"/>
      </w:pPr>
      <w:rPr>
        <w:rFonts w:ascii="Arial" w:hAnsi="Arial" w:hint="default"/>
      </w:rPr>
    </w:lvl>
    <w:lvl w:ilvl="6" w:tplc="324CE6A0" w:tentative="1">
      <w:start w:val="1"/>
      <w:numFmt w:val="bullet"/>
      <w:lvlText w:val="•"/>
      <w:lvlJc w:val="left"/>
      <w:pPr>
        <w:tabs>
          <w:tab w:val="num" w:pos="4680"/>
        </w:tabs>
        <w:ind w:left="4680" w:hanging="360"/>
      </w:pPr>
      <w:rPr>
        <w:rFonts w:ascii="Arial" w:hAnsi="Arial" w:hint="default"/>
      </w:rPr>
    </w:lvl>
    <w:lvl w:ilvl="7" w:tplc="317CDEE0" w:tentative="1">
      <w:start w:val="1"/>
      <w:numFmt w:val="bullet"/>
      <w:lvlText w:val="•"/>
      <w:lvlJc w:val="left"/>
      <w:pPr>
        <w:tabs>
          <w:tab w:val="num" w:pos="5400"/>
        </w:tabs>
        <w:ind w:left="5400" w:hanging="360"/>
      </w:pPr>
      <w:rPr>
        <w:rFonts w:ascii="Arial" w:hAnsi="Arial" w:hint="default"/>
      </w:rPr>
    </w:lvl>
    <w:lvl w:ilvl="8" w:tplc="B386CCA2" w:tentative="1">
      <w:start w:val="1"/>
      <w:numFmt w:val="bullet"/>
      <w:lvlText w:val="•"/>
      <w:lvlJc w:val="left"/>
      <w:pPr>
        <w:tabs>
          <w:tab w:val="num" w:pos="6120"/>
        </w:tabs>
        <w:ind w:left="6120" w:hanging="360"/>
      </w:pPr>
      <w:rPr>
        <w:rFonts w:ascii="Arial" w:hAnsi="Arial" w:hint="default"/>
      </w:rPr>
    </w:lvl>
  </w:abstractNum>
  <w:abstractNum w:abstractNumId="49" w15:restartNumberingAfterBreak="0">
    <w:nsid w:val="0EAA34B0"/>
    <w:multiLevelType w:val="hybridMultilevel"/>
    <w:tmpl w:val="26C486D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0" w15:restartNumberingAfterBreak="0">
    <w:nsid w:val="0F057709"/>
    <w:multiLevelType w:val="multilevel"/>
    <w:tmpl w:val="CE24E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F0C65B2"/>
    <w:multiLevelType w:val="hybridMultilevel"/>
    <w:tmpl w:val="F9863AF6"/>
    <w:lvl w:ilvl="0" w:tplc="7988DA44">
      <w:start w:val="3"/>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2" w15:restartNumberingAfterBreak="0">
    <w:nsid w:val="0F4F0611"/>
    <w:multiLevelType w:val="multilevel"/>
    <w:tmpl w:val="BCB02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0F65E62"/>
    <w:multiLevelType w:val="hybridMultilevel"/>
    <w:tmpl w:val="138E77FC"/>
    <w:lvl w:ilvl="0" w:tplc="40090009">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4" w15:restartNumberingAfterBreak="0">
    <w:nsid w:val="112E436C"/>
    <w:multiLevelType w:val="hybridMultilevel"/>
    <w:tmpl w:val="72AA7C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5" w15:restartNumberingAfterBreak="0">
    <w:nsid w:val="11702931"/>
    <w:multiLevelType w:val="multilevel"/>
    <w:tmpl w:val="0C986FC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6" w15:restartNumberingAfterBreak="0">
    <w:nsid w:val="117D2C49"/>
    <w:multiLevelType w:val="hybridMultilevel"/>
    <w:tmpl w:val="320C3B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11DB2128"/>
    <w:multiLevelType w:val="multilevel"/>
    <w:tmpl w:val="6BEC9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1F52292"/>
    <w:multiLevelType w:val="hybridMultilevel"/>
    <w:tmpl w:val="92E85FA0"/>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2131117"/>
    <w:multiLevelType w:val="multilevel"/>
    <w:tmpl w:val="C60444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1322308D"/>
    <w:multiLevelType w:val="hybridMultilevel"/>
    <w:tmpl w:val="8FBC83A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1" w15:restartNumberingAfterBreak="0">
    <w:nsid w:val="13351BFF"/>
    <w:multiLevelType w:val="multilevel"/>
    <w:tmpl w:val="777C58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13BA0434"/>
    <w:multiLevelType w:val="hybridMultilevel"/>
    <w:tmpl w:val="C74C23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3" w15:restartNumberingAfterBreak="0">
    <w:nsid w:val="1450707F"/>
    <w:multiLevelType w:val="multilevel"/>
    <w:tmpl w:val="1B7CC8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14AD5323"/>
    <w:multiLevelType w:val="hybridMultilevel"/>
    <w:tmpl w:val="53ECFA96"/>
    <w:lvl w:ilvl="0" w:tplc="40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5" w15:restartNumberingAfterBreak="0">
    <w:nsid w:val="14F82D76"/>
    <w:multiLevelType w:val="hybridMultilevel"/>
    <w:tmpl w:val="646CF0A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6" w15:restartNumberingAfterBreak="0">
    <w:nsid w:val="15B85AF2"/>
    <w:multiLevelType w:val="multilevel"/>
    <w:tmpl w:val="8A569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5D70ADB"/>
    <w:multiLevelType w:val="multilevel"/>
    <w:tmpl w:val="65E8EC1E"/>
    <w:lvl w:ilvl="0">
      <w:start w:val="6"/>
      <w:numFmt w:val="decimal"/>
      <w:lvlText w:val="%1"/>
      <w:lvlJc w:val="left"/>
      <w:pPr>
        <w:ind w:left="360" w:hanging="360"/>
      </w:pPr>
      <w:rPr>
        <w:rFonts w:hint="default"/>
        <w:sz w:val="24"/>
      </w:rPr>
    </w:lvl>
    <w:lvl w:ilvl="1">
      <w:start w:val="3"/>
      <w:numFmt w:val="decimal"/>
      <w:lvlText w:val="%1.%2"/>
      <w:lvlJc w:val="left"/>
      <w:pPr>
        <w:ind w:left="360" w:hanging="360"/>
      </w:pPr>
      <w:rPr>
        <w:rFonts w:hint="default"/>
        <w:sz w:val="24"/>
      </w:rPr>
    </w:lvl>
    <w:lvl w:ilvl="2">
      <w:start w:val="1"/>
      <w:numFmt w:val="decimal"/>
      <w:lvlText w:val="%1.%2.%3"/>
      <w:lvlJc w:val="left"/>
      <w:pPr>
        <w:ind w:left="1620" w:hanging="720"/>
      </w:pPr>
      <w:rPr>
        <w:rFonts w:hint="default"/>
        <w:sz w:val="24"/>
      </w:rPr>
    </w:lvl>
    <w:lvl w:ilvl="3">
      <w:start w:val="1"/>
      <w:numFmt w:val="decimal"/>
      <w:lvlText w:val="%1.%2.%3.%4"/>
      <w:lvlJc w:val="left"/>
      <w:pPr>
        <w:ind w:left="2430" w:hanging="1080"/>
      </w:pPr>
      <w:rPr>
        <w:rFonts w:hint="default"/>
        <w:sz w:val="24"/>
      </w:rPr>
    </w:lvl>
    <w:lvl w:ilvl="4">
      <w:start w:val="1"/>
      <w:numFmt w:val="decimal"/>
      <w:lvlText w:val="%1.%2.%3.%4.%5"/>
      <w:lvlJc w:val="left"/>
      <w:pPr>
        <w:ind w:left="2880" w:hanging="1080"/>
      </w:pPr>
      <w:rPr>
        <w:rFonts w:hint="default"/>
        <w:sz w:val="24"/>
      </w:rPr>
    </w:lvl>
    <w:lvl w:ilvl="5">
      <w:start w:val="1"/>
      <w:numFmt w:val="decimal"/>
      <w:lvlText w:val="%1.%2.%3.%4.%5.%6"/>
      <w:lvlJc w:val="left"/>
      <w:pPr>
        <w:ind w:left="3690" w:hanging="1440"/>
      </w:pPr>
      <w:rPr>
        <w:rFonts w:hint="default"/>
        <w:sz w:val="24"/>
      </w:rPr>
    </w:lvl>
    <w:lvl w:ilvl="6">
      <w:start w:val="1"/>
      <w:numFmt w:val="decimal"/>
      <w:lvlText w:val="%1.%2.%3.%4.%5.%6.%7"/>
      <w:lvlJc w:val="left"/>
      <w:pPr>
        <w:ind w:left="4140" w:hanging="1440"/>
      </w:pPr>
      <w:rPr>
        <w:rFonts w:hint="default"/>
        <w:sz w:val="24"/>
      </w:rPr>
    </w:lvl>
    <w:lvl w:ilvl="7">
      <w:start w:val="1"/>
      <w:numFmt w:val="decimal"/>
      <w:lvlText w:val="%1.%2.%3.%4.%5.%6.%7.%8"/>
      <w:lvlJc w:val="left"/>
      <w:pPr>
        <w:ind w:left="4950" w:hanging="1800"/>
      </w:pPr>
      <w:rPr>
        <w:rFonts w:hint="default"/>
        <w:sz w:val="24"/>
      </w:rPr>
    </w:lvl>
    <w:lvl w:ilvl="8">
      <w:start w:val="1"/>
      <w:numFmt w:val="decimal"/>
      <w:lvlText w:val="%1.%2.%3.%4.%5.%6.%7.%8.%9"/>
      <w:lvlJc w:val="left"/>
      <w:pPr>
        <w:ind w:left="5760" w:hanging="2160"/>
      </w:pPr>
      <w:rPr>
        <w:rFonts w:hint="default"/>
        <w:sz w:val="24"/>
      </w:rPr>
    </w:lvl>
  </w:abstractNum>
  <w:abstractNum w:abstractNumId="68" w15:restartNumberingAfterBreak="0">
    <w:nsid w:val="15DA702F"/>
    <w:multiLevelType w:val="hybridMultilevel"/>
    <w:tmpl w:val="47620D6E"/>
    <w:lvl w:ilvl="0" w:tplc="04090009">
      <w:start w:val="1"/>
      <w:numFmt w:val="bullet"/>
      <w:lvlText w:val=""/>
      <w:lvlJc w:val="left"/>
      <w:pPr>
        <w:ind w:left="360" w:hanging="360"/>
      </w:pPr>
      <w:rPr>
        <w:rFonts w:ascii="Wingdings" w:hAnsi="Wingdings" w:hint="default"/>
        <w:sz w:val="24"/>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9" w15:restartNumberingAfterBreak="0">
    <w:nsid w:val="1674163E"/>
    <w:multiLevelType w:val="hybridMultilevel"/>
    <w:tmpl w:val="24286008"/>
    <w:lvl w:ilvl="0" w:tplc="40090009">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abstractNum w:abstractNumId="70" w15:restartNumberingAfterBreak="0">
    <w:nsid w:val="17D15FA8"/>
    <w:multiLevelType w:val="multilevel"/>
    <w:tmpl w:val="10C25B6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1" w15:restartNumberingAfterBreak="0">
    <w:nsid w:val="18C85CB9"/>
    <w:multiLevelType w:val="hybridMultilevel"/>
    <w:tmpl w:val="D71245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2" w15:restartNumberingAfterBreak="0">
    <w:nsid w:val="194767EF"/>
    <w:multiLevelType w:val="hybridMultilevel"/>
    <w:tmpl w:val="026AD5A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3" w15:restartNumberingAfterBreak="0">
    <w:nsid w:val="1AB25FF2"/>
    <w:multiLevelType w:val="hybridMultilevel"/>
    <w:tmpl w:val="48D4444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4" w15:restartNumberingAfterBreak="0">
    <w:nsid w:val="1BA3705F"/>
    <w:multiLevelType w:val="multilevel"/>
    <w:tmpl w:val="1BA3705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5" w15:restartNumberingAfterBreak="0">
    <w:nsid w:val="1BE96877"/>
    <w:multiLevelType w:val="hybridMultilevel"/>
    <w:tmpl w:val="E0C6C48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6" w15:restartNumberingAfterBreak="0">
    <w:nsid w:val="1C0A668A"/>
    <w:multiLevelType w:val="hybridMultilevel"/>
    <w:tmpl w:val="F3F83BFE"/>
    <w:lvl w:ilvl="0" w:tplc="9634D54C">
      <w:start w:val="3"/>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7" w15:restartNumberingAfterBreak="0">
    <w:nsid w:val="1C535A4C"/>
    <w:multiLevelType w:val="multilevel"/>
    <w:tmpl w:val="E340A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D2726AF"/>
    <w:multiLevelType w:val="hybridMultilevel"/>
    <w:tmpl w:val="71D43D0C"/>
    <w:lvl w:ilvl="0" w:tplc="7988DA44">
      <w:start w:val="3"/>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9" w15:restartNumberingAfterBreak="0">
    <w:nsid w:val="1E04429A"/>
    <w:multiLevelType w:val="hybridMultilevel"/>
    <w:tmpl w:val="C3E84AD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0" w15:restartNumberingAfterBreak="0">
    <w:nsid w:val="1FCA51E1"/>
    <w:multiLevelType w:val="hybridMultilevel"/>
    <w:tmpl w:val="B8C26CB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1" w15:restartNumberingAfterBreak="0">
    <w:nsid w:val="21322633"/>
    <w:multiLevelType w:val="hybridMultilevel"/>
    <w:tmpl w:val="3960A6FA"/>
    <w:lvl w:ilvl="0" w:tplc="7988DA44">
      <w:start w:val="3"/>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2" w15:restartNumberingAfterBreak="0">
    <w:nsid w:val="214C2315"/>
    <w:multiLevelType w:val="multilevel"/>
    <w:tmpl w:val="214C231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3" w15:restartNumberingAfterBreak="0">
    <w:nsid w:val="22497B81"/>
    <w:multiLevelType w:val="hybridMultilevel"/>
    <w:tmpl w:val="7038958C"/>
    <w:lvl w:ilvl="0" w:tplc="95C4E3E8">
      <w:start w:val="1"/>
      <w:numFmt w:val="bullet"/>
      <w:lvlText w:val=""/>
      <w:lvlJc w:val="left"/>
      <w:pPr>
        <w:ind w:left="360" w:hanging="360"/>
      </w:pPr>
      <w:rPr>
        <w:rFonts w:ascii="Symbol" w:hAnsi="Symbol" w:hint="default"/>
        <w:sz w:val="24"/>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4" w15:restartNumberingAfterBreak="0">
    <w:nsid w:val="22E44F73"/>
    <w:multiLevelType w:val="hybridMultilevel"/>
    <w:tmpl w:val="4814A1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5" w15:restartNumberingAfterBreak="0">
    <w:nsid w:val="23966CB2"/>
    <w:multiLevelType w:val="hybridMultilevel"/>
    <w:tmpl w:val="6A26AB16"/>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86" w15:restartNumberingAfterBreak="0">
    <w:nsid w:val="23AF2AAB"/>
    <w:multiLevelType w:val="hybridMultilevel"/>
    <w:tmpl w:val="98EE4B90"/>
    <w:lvl w:ilvl="0" w:tplc="B6EAE340">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7" w15:restartNumberingAfterBreak="0">
    <w:nsid w:val="23C97E21"/>
    <w:multiLevelType w:val="hybridMultilevel"/>
    <w:tmpl w:val="28B897A6"/>
    <w:lvl w:ilvl="0" w:tplc="7988DA44">
      <w:start w:val="3"/>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8" w15:restartNumberingAfterBreak="0">
    <w:nsid w:val="24853EC6"/>
    <w:multiLevelType w:val="hybridMultilevel"/>
    <w:tmpl w:val="DB56F9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9" w15:restartNumberingAfterBreak="0">
    <w:nsid w:val="24F515C5"/>
    <w:multiLevelType w:val="hybridMultilevel"/>
    <w:tmpl w:val="F87C688E"/>
    <w:lvl w:ilvl="0" w:tplc="4FAAB3D2">
      <w:start w:val="11"/>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0" w15:restartNumberingAfterBreak="0">
    <w:nsid w:val="25F31EBD"/>
    <w:multiLevelType w:val="hybridMultilevel"/>
    <w:tmpl w:val="DF4E7438"/>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1" w15:restartNumberingAfterBreak="0">
    <w:nsid w:val="269009ED"/>
    <w:multiLevelType w:val="multilevel"/>
    <w:tmpl w:val="A7F85F0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26954F30"/>
    <w:multiLevelType w:val="hybridMultilevel"/>
    <w:tmpl w:val="452C1E0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3" w15:restartNumberingAfterBreak="0">
    <w:nsid w:val="27D3FA73"/>
    <w:multiLevelType w:val="singleLevel"/>
    <w:tmpl w:val="27D3FA73"/>
    <w:lvl w:ilvl="0">
      <w:start w:val="1"/>
      <w:numFmt w:val="decimal"/>
      <w:suff w:val="space"/>
      <w:lvlText w:val="%1."/>
      <w:lvlJc w:val="left"/>
      <w:pPr>
        <w:ind w:left="720" w:firstLine="0"/>
      </w:pPr>
    </w:lvl>
  </w:abstractNum>
  <w:abstractNum w:abstractNumId="94" w15:restartNumberingAfterBreak="0">
    <w:nsid w:val="27E005F9"/>
    <w:multiLevelType w:val="multilevel"/>
    <w:tmpl w:val="27E005F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27F9368F"/>
    <w:multiLevelType w:val="hybridMultilevel"/>
    <w:tmpl w:val="D2524B04"/>
    <w:lvl w:ilvl="0" w:tplc="40090001">
      <w:start w:val="1"/>
      <w:numFmt w:val="bullet"/>
      <w:lvlText w:val=""/>
      <w:lvlJc w:val="left"/>
      <w:pPr>
        <w:ind w:left="502"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6" w15:restartNumberingAfterBreak="0">
    <w:nsid w:val="293B0354"/>
    <w:multiLevelType w:val="multilevel"/>
    <w:tmpl w:val="BC84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93F1ECA"/>
    <w:multiLevelType w:val="hybridMultilevel"/>
    <w:tmpl w:val="32869DBC"/>
    <w:lvl w:ilvl="0" w:tplc="8112F00A">
      <w:start w:val="1"/>
      <w:numFmt w:val="decimal"/>
      <w:lvlText w:val="%1."/>
      <w:lvlJc w:val="left"/>
      <w:pPr>
        <w:ind w:left="720" w:hanging="360"/>
      </w:pPr>
      <w:rPr>
        <w:rFonts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8" w15:restartNumberingAfterBreak="0">
    <w:nsid w:val="29FB417A"/>
    <w:multiLevelType w:val="hybridMultilevel"/>
    <w:tmpl w:val="AB72C324"/>
    <w:lvl w:ilvl="0" w:tplc="FDA068C4">
      <w:start w:val="1"/>
      <w:numFmt w:val="bullet"/>
      <w:lvlText w:val=""/>
      <w:lvlJc w:val="left"/>
      <w:pPr>
        <w:ind w:left="360" w:hanging="360"/>
      </w:pPr>
      <w:rPr>
        <w:rFonts w:ascii="Symbol" w:hAnsi="Symbol" w:hint="default"/>
        <w:sz w:val="24"/>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9" w15:restartNumberingAfterBreak="0">
    <w:nsid w:val="2A205A36"/>
    <w:multiLevelType w:val="multilevel"/>
    <w:tmpl w:val="4446A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2C684FEE"/>
    <w:multiLevelType w:val="multilevel"/>
    <w:tmpl w:val="070E094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1" w15:restartNumberingAfterBreak="0">
    <w:nsid w:val="2DAA0D07"/>
    <w:multiLevelType w:val="hybridMultilevel"/>
    <w:tmpl w:val="EB3AC4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2" w15:restartNumberingAfterBreak="0">
    <w:nsid w:val="2EC73F9F"/>
    <w:multiLevelType w:val="hybridMultilevel"/>
    <w:tmpl w:val="D25226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3" w15:restartNumberingAfterBreak="0">
    <w:nsid w:val="302C5782"/>
    <w:multiLevelType w:val="hybridMultilevel"/>
    <w:tmpl w:val="48068A80"/>
    <w:lvl w:ilvl="0" w:tplc="A3127F46">
      <w:start w:val="1"/>
      <w:numFmt w:val="decimal"/>
      <w:lvlText w:val="%1."/>
      <w:lvlJc w:val="left"/>
      <w:pPr>
        <w:ind w:left="360" w:hanging="360"/>
      </w:pPr>
      <w:rPr>
        <w:rFonts w:hint="default"/>
        <w:b/>
        <w:sz w:val="28"/>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4" w15:restartNumberingAfterBreak="0">
    <w:nsid w:val="30421F6A"/>
    <w:multiLevelType w:val="hybridMultilevel"/>
    <w:tmpl w:val="C28C0AF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5" w15:restartNumberingAfterBreak="0">
    <w:nsid w:val="30E3446D"/>
    <w:multiLevelType w:val="multilevel"/>
    <w:tmpl w:val="A6F48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31415453"/>
    <w:multiLevelType w:val="multilevel"/>
    <w:tmpl w:val="8DF45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14E4CCB"/>
    <w:multiLevelType w:val="multilevel"/>
    <w:tmpl w:val="AFCA8C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15:restartNumberingAfterBreak="0">
    <w:nsid w:val="31C46698"/>
    <w:multiLevelType w:val="multilevel"/>
    <w:tmpl w:val="2A6CB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1F660C7"/>
    <w:multiLevelType w:val="hybridMultilevel"/>
    <w:tmpl w:val="FB6019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0" w15:restartNumberingAfterBreak="0">
    <w:nsid w:val="325817B6"/>
    <w:multiLevelType w:val="multilevel"/>
    <w:tmpl w:val="AA4C8F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15:restartNumberingAfterBreak="0">
    <w:nsid w:val="34D75536"/>
    <w:multiLevelType w:val="hybridMultilevel"/>
    <w:tmpl w:val="D4C059DC"/>
    <w:lvl w:ilvl="0" w:tplc="A586AE78">
      <w:start w:val="9"/>
      <w:numFmt w:val="decimal"/>
      <w:lvlText w:val="%1."/>
      <w:lvlJc w:val="left"/>
      <w:pPr>
        <w:ind w:left="36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2" w15:restartNumberingAfterBreak="0">
    <w:nsid w:val="36065468"/>
    <w:multiLevelType w:val="multilevel"/>
    <w:tmpl w:val="D67CE4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15:restartNumberingAfterBreak="0">
    <w:nsid w:val="36A062D6"/>
    <w:multiLevelType w:val="hybridMultilevel"/>
    <w:tmpl w:val="F7F8A9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4" w15:restartNumberingAfterBreak="0">
    <w:nsid w:val="37101A3C"/>
    <w:multiLevelType w:val="hybridMultilevel"/>
    <w:tmpl w:val="BAF00B3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5" w15:restartNumberingAfterBreak="0">
    <w:nsid w:val="3782432B"/>
    <w:multiLevelType w:val="hybridMultilevel"/>
    <w:tmpl w:val="0BCAA39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16" w15:restartNumberingAfterBreak="0">
    <w:nsid w:val="37CA6D2A"/>
    <w:multiLevelType w:val="hybridMultilevel"/>
    <w:tmpl w:val="6A0A69E0"/>
    <w:lvl w:ilvl="0" w:tplc="7988DA44">
      <w:start w:val="3"/>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7" w15:restartNumberingAfterBreak="0">
    <w:nsid w:val="384904F5"/>
    <w:multiLevelType w:val="hybridMultilevel"/>
    <w:tmpl w:val="8FE849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8" w15:restartNumberingAfterBreak="0">
    <w:nsid w:val="393036F4"/>
    <w:multiLevelType w:val="hybridMultilevel"/>
    <w:tmpl w:val="8256A3DE"/>
    <w:lvl w:ilvl="0" w:tplc="AAAC0570">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9" w15:restartNumberingAfterBreak="0">
    <w:nsid w:val="39983328"/>
    <w:multiLevelType w:val="hybridMultilevel"/>
    <w:tmpl w:val="952AE2FE"/>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20" w15:restartNumberingAfterBreak="0">
    <w:nsid w:val="3B6710B9"/>
    <w:multiLevelType w:val="multilevel"/>
    <w:tmpl w:val="77488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E592711"/>
    <w:multiLevelType w:val="multilevel"/>
    <w:tmpl w:val="BF0A6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3E97578D"/>
    <w:multiLevelType w:val="hybridMultilevel"/>
    <w:tmpl w:val="E6F4A9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3" w15:restartNumberingAfterBreak="0">
    <w:nsid w:val="4106402D"/>
    <w:multiLevelType w:val="multilevel"/>
    <w:tmpl w:val="69208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1441C82"/>
    <w:multiLevelType w:val="hybridMultilevel"/>
    <w:tmpl w:val="B5D4327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5" w15:restartNumberingAfterBreak="0">
    <w:nsid w:val="41DA07D2"/>
    <w:multiLevelType w:val="hybridMultilevel"/>
    <w:tmpl w:val="73A4C1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43A8476F"/>
    <w:multiLevelType w:val="hybridMultilevel"/>
    <w:tmpl w:val="7388B396"/>
    <w:lvl w:ilvl="0" w:tplc="7988DA44">
      <w:start w:val="3"/>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7" w15:restartNumberingAfterBreak="0">
    <w:nsid w:val="4412329E"/>
    <w:multiLevelType w:val="multilevel"/>
    <w:tmpl w:val="240AD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4A94C80"/>
    <w:multiLevelType w:val="multilevel"/>
    <w:tmpl w:val="44A94C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9" w15:restartNumberingAfterBreak="0">
    <w:nsid w:val="45C26C38"/>
    <w:multiLevelType w:val="multilevel"/>
    <w:tmpl w:val="6C30D0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 w15:restartNumberingAfterBreak="0">
    <w:nsid w:val="46B72FC6"/>
    <w:multiLevelType w:val="multilevel"/>
    <w:tmpl w:val="212E4278"/>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502" w:hanging="360"/>
      </w:pPr>
      <w:rPr>
        <w:rFonts w:hint="default"/>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720661E"/>
    <w:multiLevelType w:val="hybridMultilevel"/>
    <w:tmpl w:val="AD6C9FE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2" w15:restartNumberingAfterBreak="0">
    <w:nsid w:val="48524581"/>
    <w:multiLevelType w:val="hybridMultilevel"/>
    <w:tmpl w:val="67602D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3" w15:restartNumberingAfterBreak="0">
    <w:nsid w:val="497A0CE1"/>
    <w:multiLevelType w:val="hybridMultilevel"/>
    <w:tmpl w:val="47E8E784"/>
    <w:lvl w:ilvl="0" w:tplc="40090001">
      <w:start w:val="1"/>
      <w:numFmt w:val="bullet"/>
      <w:lvlText w:val=""/>
      <w:lvlJc w:val="left"/>
      <w:pPr>
        <w:ind w:left="720" w:hanging="360"/>
      </w:pPr>
      <w:rPr>
        <w:rFonts w:ascii="Symbol" w:hAnsi="Symbol" w:hint="default"/>
      </w:rPr>
    </w:lvl>
    <w:lvl w:ilvl="1" w:tplc="2E806B50">
      <w:numFmt w:val="bullet"/>
      <w:lvlText w:val="•"/>
      <w:lvlJc w:val="left"/>
      <w:pPr>
        <w:ind w:left="1440" w:hanging="360"/>
      </w:pPr>
      <w:rPr>
        <w:rFonts w:ascii="Times New Roman" w:eastAsiaTheme="minorHAnsi" w:hAnsi="Times New Roman" w:cs="Times New Roman"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4" w15:restartNumberingAfterBreak="0">
    <w:nsid w:val="4ABC5D41"/>
    <w:multiLevelType w:val="hybridMultilevel"/>
    <w:tmpl w:val="A030C0E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5" w15:restartNumberingAfterBreak="0">
    <w:nsid w:val="4B3E4DD0"/>
    <w:multiLevelType w:val="multilevel"/>
    <w:tmpl w:val="C55289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 w15:restartNumberingAfterBreak="0">
    <w:nsid w:val="4B5D01AF"/>
    <w:multiLevelType w:val="multilevel"/>
    <w:tmpl w:val="BA7E0E80"/>
    <w:lvl w:ilvl="0">
      <w:start w:val="1"/>
      <w:numFmt w:val="decimal"/>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7" w15:restartNumberingAfterBreak="0">
    <w:nsid w:val="4B873B7C"/>
    <w:multiLevelType w:val="hybridMultilevel"/>
    <w:tmpl w:val="B9DA92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8" w15:restartNumberingAfterBreak="0">
    <w:nsid w:val="4D50375F"/>
    <w:multiLevelType w:val="hybridMultilevel"/>
    <w:tmpl w:val="E9B2EB46"/>
    <w:lvl w:ilvl="0" w:tplc="7988DA44">
      <w:start w:val="3"/>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9" w15:restartNumberingAfterBreak="0">
    <w:nsid w:val="4DD3549F"/>
    <w:multiLevelType w:val="multilevel"/>
    <w:tmpl w:val="4A562D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 w15:restartNumberingAfterBreak="0">
    <w:nsid w:val="4EDB6D53"/>
    <w:multiLevelType w:val="hybridMultilevel"/>
    <w:tmpl w:val="0E74F9EC"/>
    <w:lvl w:ilvl="0" w:tplc="BD8046D0">
      <w:start w:val="1"/>
      <w:numFmt w:val="decimal"/>
      <w:lvlText w:val="%1."/>
      <w:lvlJc w:val="left"/>
      <w:pPr>
        <w:ind w:left="720" w:hanging="360"/>
      </w:pPr>
      <w:rPr>
        <w:rFonts w:hint="default"/>
        <w:b/>
        <w:i/>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1" w15:restartNumberingAfterBreak="0">
    <w:nsid w:val="500C3091"/>
    <w:multiLevelType w:val="hybridMultilevel"/>
    <w:tmpl w:val="DEC4AC78"/>
    <w:lvl w:ilvl="0" w:tplc="7988DA44">
      <w:start w:val="3"/>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2" w15:restartNumberingAfterBreak="0">
    <w:nsid w:val="546E4150"/>
    <w:multiLevelType w:val="multilevel"/>
    <w:tmpl w:val="9672F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4CA1D4C"/>
    <w:multiLevelType w:val="hybridMultilevel"/>
    <w:tmpl w:val="8E724430"/>
    <w:lvl w:ilvl="0" w:tplc="4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4" w15:restartNumberingAfterBreak="0">
    <w:nsid w:val="54CB3075"/>
    <w:multiLevelType w:val="hybridMultilevel"/>
    <w:tmpl w:val="4580D4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5" w15:restartNumberingAfterBreak="0">
    <w:nsid w:val="555974A1"/>
    <w:multiLevelType w:val="multilevel"/>
    <w:tmpl w:val="5016C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68877BA"/>
    <w:multiLevelType w:val="hybridMultilevel"/>
    <w:tmpl w:val="BB30B9E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47" w15:restartNumberingAfterBreak="0">
    <w:nsid w:val="56F12323"/>
    <w:multiLevelType w:val="multilevel"/>
    <w:tmpl w:val="56F1232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8" w15:restartNumberingAfterBreak="0">
    <w:nsid w:val="57423595"/>
    <w:multiLevelType w:val="hybridMultilevel"/>
    <w:tmpl w:val="B5A86C60"/>
    <w:lvl w:ilvl="0" w:tplc="40090009">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298" w:hanging="360"/>
      </w:pPr>
      <w:rPr>
        <w:rFonts w:ascii="Courier New" w:hAnsi="Courier New" w:cs="Courier New" w:hint="default"/>
      </w:rPr>
    </w:lvl>
    <w:lvl w:ilvl="2" w:tplc="40090005" w:tentative="1">
      <w:start w:val="1"/>
      <w:numFmt w:val="bullet"/>
      <w:lvlText w:val=""/>
      <w:lvlJc w:val="left"/>
      <w:pPr>
        <w:ind w:left="2018" w:hanging="360"/>
      </w:pPr>
      <w:rPr>
        <w:rFonts w:ascii="Wingdings" w:hAnsi="Wingdings" w:hint="default"/>
      </w:rPr>
    </w:lvl>
    <w:lvl w:ilvl="3" w:tplc="40090001" w:tentative="1">
      <w:start w:val="1"/>
      <w:numFmt w:val="bullet"/>
      <w:lvlText w:val=""/>
      <w:lvlJc w:val="left"/>
      <w:pPr>
        <w:ind w:left="2738" w:hanging="360"/>
      </w:pPr>
      <w:rPr>
        <w:rFonts w:ascii="Symbol" w:hAnsi="Symbol" w:hint="default"/>
      </w:rPr>
    </w:lvl>
    <w:lvl w:ilvl="4" w:tplc="40090003" w:tentative="1">
      <w:start w:val="1"/>
      <w:numFmt w:val="bullet"/>
      <w:lvlText w:val="o"/>
      <w:lvlJc w:val="left"/>
      <w:pPr>
        <w:ind w:left="3458" w:hanging="360"/>
      </w:pPr>
      <w:rPr>
        <w:rFonts w:ascii="Courier New" w:hAnsi="Courier New" w:cs="Courier New" w:hint="default"/>
      </w:rPr>
    </w:lvl>
    <w:lvl w:ilvl="5" w:tplc="40090005" w:tentative="1">
      <w:start w:val="1"/>
      <w:numFmt w:val="bullet"/>
      <w:lvlText w:val=""/>
      <w:lvlJc w:val="left"/>
      <w:pPr>
        <w:ind w:left="4178" w:hanging="360"/>
      </w:pPr>
      <w:rPr>
        <w:rFonts w:ascii="Wingdings" w:hAnsi="Wingdings" w:hint="default"/>
      </w:rPr>
    </w:lvl>
    <w:lvl w:ilvl="6" w:tplc="40090001" w:tentative="1">
      <w:start w:val="1"/>
      <w:numFmt w:val="bullet"/>
      <w:lvlText w:val=""/>
      <w:lvlJc w:val="left"/>
      <w:pPr>
        <w:ind w:left="4898" w:hanging="360"/>
      </w:pPr>
      <w:rPr>
        <w:rFonts w:ascii="Symbol" w:hAnsi="Symbol" w:hint="default"/>
      </w:rPr>
    </w:lvl>
    <w:lvl w:ilvl="7" w:tplc="40090003" w:tentative="1">
      <w:start w:val="1"/>
      <w:numFmt w:val="bullet"/>
      <w:lvlText w:val="o"/>
      <w:lvlJc w:val="left"/>
      <w:pPr>
        <w:ind w:left="5618" w:hanging="360"/>
      </w:pPr>
      <w:rPr>
        <w:rFonts w:ascii="Courier New" w:hAnsi="Courier New" w:cs="Courier New" w:hint="default"/>
      </w:rPr>
    </w:lvl>
    <w:lvl w:ilvl="8" w:tplc="40090005" w:tentative="1">
      <w:start w:val="1"/>
      <w:numFmt w:val="bullet"/>
      <w:lvlText w:val=""/>
      <w:lvlJc w:val="left"/>
      <w:pPr>
        <w:ind w:left="6338" w:hanging="360"/>
      </w:pPr>
      <w:rPr>
        <w:rFonts w:ascii="Wingdings" w:hAnsi="Wingdings" w:hint="default"/>
      </w:rPr>
    </w:lvl>
  </w:abstractNum>
  <w:abstractNum w:abstractNumId="149" w15:restartNumberingAfterBreak="0">
    <w:nsid w:val="57947E87"/>
    <w:multiLevelType w:val="hybridMultilevel"/>
    <w:tmpl w:val="C3F06CD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0" w15:restartNumberingAfterBreak="0">
    <w:nsid w:val="58092841"/>
    <w:multiLevelType w:val="multilevel"/>
    <w:tmpl w:val="11F06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9C34F3F"/>
    <w:multiLevelType w:val="hybridMultilevel"/>
    <w:tmpl w:val="D04EB6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2" w15:restartNumberingAfterBreak="0">
    <w:nsid w:val="5AD9136A"/>
    <w:multiLevelType w:val="hybridMultilevel"/>
    <w:tmpl w:val="12DE2D84"/>
    <w:lvl w:ilvl="0" w:tplc="FDA068C4">
      <w:start w:val="1"/>
      <w:numFmt w:val="bullet"/>
      <w:lvlText w:val=""/>
      <w:lvlJc w:val="left"/>
      <w:pPr>
        <w:ind w:left="360" w:hanging="360"/>
      </w:pPr>
      <w:rPr>
        <w:rFonts w:ascii="Symbol" w:hAnsi="Symbol" w:hint="default"/>
        <w:sz w:val="24"/>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53" w15:restartNumberingAfterBreak="0">
    <w:nsid w:val="5B396F95"/>
    <w:multiLevelType w:val="hybridMultilevel"/>
    <w:tmpl w:val="0B4804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4" w15:restartNumberingAfterBreak="0">
    <w:nsid w:val="5C212111"/>
    <w:multiLevelType w:val="hybridMultilevel"/>
    <w:tmpl w:val="8622456E"/>
    <w:lvl w:ilvl="0" w:tplc="40090001">
      <w:start w:val="1"/>
      <w:numFmt w:val="bullet"/>
      <w:lvlText w:val=""/>
      <w:lvlJc w:val="left"/>
      <w:pPr>
        <w:ind w:left="777" w:hanging="360"/>
      </w:pPr>
      <w:rPr>
        <w:rFonts w:ascii="Symbol" w:hAnsi="Symbol" w:hint="default"/>
      </w:rPr>
    </w:lvl>
    <w:lvl w:ilvl="1" w:tplc="40090003" w:tentative="1">
      <w:start w:val="1"/>
      <w:numFmt w:val="bullet"/>
      <w:lvlText w:val="o"/>
      <w:lvlJc w:val="left"/>
      <w:pPr>
        <w:ind w:left="1497" w:hanging="360"/>
      </w:pPr>
      <w:rPr>
        <w:rFonts w:ascii="Courier New" w:hAnsi="Courier New" w:cs="Courier New" w:hint="default"/>
      </w:rPr>
    </w:lvl>
    <w:lvl w:ilvl="2" w:tplc="40090005" w:tentative="1">
      <w:start w:val="1"/>
      <w:numFmt w:val="bullet"/>
      <w:lvlText w:val=""/>
      <w:lvlJc w:val="left"/>
      <w:pPr>
        <w:ind w:left="2217" w:hanging="360"/>
      </w:pPr>
      <w:rPr>
        <w:rFonts w:ascii="Wingdings" w:hAnsi="Wingdings" w:hint="default"/>
      </w:rPr>
    </w:lvl>
    <w:lvl w:ilvl="3" w:tplc="40090001" w:tentative="1">
      <w:start w:val="1"/>
      <w:numFmt w:val="bullet"/>
      <w:lvlText w:val=""/>
      <w:lvlJc w:val="left"/>
      <w:pPr>
        <w:ind w:left="2937" w:hanging="360"/>
      </w:pPr>
      <w:rPr>
        <w:rFonts w:ascii="Symbol" w:hAnsi="Symbol" w:hint="default"/>
      </w:rPr>
    </w:lvl>
    <w:lvl w:ilvl="4" w:tplc="40090003" w:tentative="1">
      <w:start w:val="1"/>
      <w:numFmt w:val="bullet"/>
      <w:lvlText w:val="o"/>
      <w:lvlJc w:val="left"/>
      <w:pPr>
        <w:ind w:left="3657" w:hanging="360"/>
      </w:pPr>
      <w:rPr>
        <w:rFonts w:ascii="Courier New" w:hAnsi="Courier New" w:cs="Courier New" w:hint="default"/>
      </w:rPr>
    </w:lvl>
    <w:lvl w:ilvl="5" w:tplc="40090005" w:tentative="1">
      <w:start w:val="1"/>
      <w:numFmt w:val="bullet"/>
      <w:lvlText w:val=""/>
      <w:lvlJc w:val="left"/>
      <w:pPr>
        <w:ind w:left="4377" w:hanging="360"/>
      </w:pPr>
      <w:rPr>
        <w:rFonts w:ascii="Wingdings" w:hAnsi="Wingdings" w:hint="default"/>
      </w:rPr>
    </w:lvl>
    <w:lvl w:ilvl="6" w:tplc="40090001" w:tentative="1">
      <w:start w:val="1"/>
      <w:numFmt w:val="bullet"/>
      <w:lvlText w:val=""/>
      <w:lvlJc w:val="left"/>
      <w:pPr>
        <w:ind w:left="5097" w:hanging="360"/>
      </w:pPr>
      <w:rPr>
        <w:rFonts w:ascii="Symbol" w:hAnsi="Symbol" w:hint="default"/>
      </w:rPr>
    </w:lvl>
    <w:lvl w:ilvl="7" w:tplc="40090003" w:tentative="1">
      <w:start w:val="1"/>
      <w:numFmt w:val="bullet"/>
      <w:lvlText w:val="o"/>
      <w:lvlJc w:val="left"/>
      <w:pPr>
        <w:ind w:left="5817" w:hanging="360"/>
      </w:pPr>
      <w:rPr>
        <w:rFonts w:ascii="Courier New" w:hAnsi="Courier New" w:cs="Courier New" w:hint="default"/>
      </w:rPr>
    </w:lvl>
    <w:lvl w:ilvl="8" w:tplc="40090005" w:tentative="1">
      <w:start w:val="1"/>
      <w:numFmt w:val="bullet"/>
      <w:lvlText w:val=""/>
      <w:lvlJc w:val="left"/>
      <w:pPr>
        <w:ind w:left="6537" w:hanging="360"/>
      </w:pPr>
      <w:rPr>
        <w:rFonts w:ascii="Wingdings" w:hAnsi="Wingdings" w:hint="default"/>
      </w:rPr>
    </w:lvl>
  </w:abstractNum>
  <w:abstractNum w:abstractNumId="155" w15:restartNumberingAfterBreak="0">
    <w:nsid w:val="5C271553"/>
    <w:multiLevelType w:val="hybridMultilevel"/>
    <w:tmpl w:val="8724D06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6" w15:restartNumberingAfterBreak="0">
    <w:nsid w:val="5C6B4AC7"/>
    <w:multiLevelType w:val="multilevel"/>
    <w:tmpl w:val="F2F09F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7" w15:restartNumberingAfterBreak="0">
    <w:nsid w:val="5CB264E5"/>
    <w:multiLevelType w:val="hybridMultilevel"/>
    <w:tmpl w:val="EA8C851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8" w15:restartNumberingAfterBreak="0">
    <w:nsid w:val="5D501858"/>
    <w:multiLevelType w:val="multilevel"/>
    <w:tmpl w:val="212CE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E27543F"/>
    <w:multiLevelType w:val="hybridMultilevel"/>
    <w:tmpl w:val="5AF28D5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60" w15:restartNumberingAfterBreak="0">
    <w:nsid w:val="5FCC5F59"/>
    <w:multiLevelType w:val="hybridMultilevel"/>
    <w:tmpl w:val="43CA05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1" w15:restartNumberingAfterBreak="0">
    <w:nsid w:val="60C351F4"/>
    <w:multiLevelType w:val="hybridMultilevel"/>
    <w:tmpl w:val="A57C1B5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2" w15:restartNumberingAfterBreak="0">
    <w:nsid w:val="623E2BE8"/>
    <w:multiLevelType w:val="hybridMultilevel"/>
    <w:tmpl w:val="57362C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3" w15:restartNumberingAfterBreak="0">
    <w:nsid w:val="64CA7797"/>
    <w:multiLevelType w:val="hybridMultilevel"/>
    <w:tmpl w:val="51BAD38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4" w15:restartNumberingAfterBreak="0">
    <w:nsid w:val="64E03FAF"/>
    <w:multiLevelType w:val="multilevel"/>
    <w:tmpl w:val="8C1C7694"/>
    <w:lvl w:ilvl="0">
      <w:start w:val="5"/>
      <w:numFmt w:val="decimal"/>
      <w:lvlText w:val="%1."/>
      <w:lvlJc w:val="left"/>
      <w:pPr>
        <w:ind w:left="360" w:hanging="360"/>
      </w:pPr>
      <w:rPr>
        <w:rFonts w:hint="default"/>
        <w:b/>
        <w:sz w:val="28"/>
      </w:rPr>
    </w:lvl>
    <w:lvl w:ilvl="1">
      <w:start w:val="1"/>
      <w:numFmt w:val="decimal"/>
      <w:isLgl/>
      <w:lvlText w:val="%1.%2"/>
      <w:lvlJc w:val="left"/>
      <w:pPr>
        <w:ind w:left="360" w:hanging="360"/>
      </w:pPr>
      <w:rPr>
        <w:rFonts w:hint="default"/>
        <w:b/>
        <w:sz w:val="24"/>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65" w15:restartNumberingAfterBreak="0">
    <w:nsid w:val="656B191F"/>
    <w:multiLevelType w:val="hybridMultilevel"/>
    <w:tmpl w:val="2D84A04A"/>
    <w:lvl w:ilvl="0" w:tplc="A2E6BB0C">
      <w:start w:val="1"/>
      <w:numFmt w:val="lowerRoman"/>
      <w:lvlText w:val="%1."/>
      <w:lvlJc w:val="righ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65A12246"/>
    <w:multiLevelType w:val="hybridMultilevel"/>
    <w:tmpl w:val="23364B5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7" w15:restartNumberingAfterBreak="0">
    <w:nsid w:val="65B87EA8"/>
    <w:multiLevelType w:val="hybridMultilevel"/>
    <w:tmpl w:val="6E32064A"/>
    <w:lvl w:ilvl="0" w:tplc="4009000B">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68" w15:restartNumberingAfterBreak="0">
    <w:nsid w:val="6619187E"/>
    <w:multiLevelType w:val="hybridMultilevel"/>
    <w:tmpl w:val="816233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9" w15:restartNumberingAfterBreak="0">
    <w:nsid w:val="6652252A"/>
    <w:multiLevelType w:val="hybridMultilevel"/>
    <w:tmpl w:val="D98EAAD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0" w15:restartNumberingAfterBreak="0">
    <w:nsid w:val="668E1D8D"/>
    <w:multiLevelType w:val="hybridMultilevel"/>
    <w:tmpl w:val="E5E65B5A"/>
    <w:lvl w:ilvl="0" w:tplc="DEC85B7A">
      <w:start w:val="2"/>
      <w:numFmt w:val="decimal"/>
      <w:lvlText w:val="%1."/>
      <w:lvlJc w:val="left"/>
      <w:pPr>
        <w:ind w:left="360" w:hanging="360"/>
      </w:pPr>
      <w:rPr>
        <w:rFonts w:hint="default"/>
        <w:sz w:val="28"/>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71" w15:restartNumberingAfterBreak="0">
    <w:nsid w:val="67AD1F07"/>
    <w:multiLevelType w:val="multilevel"/>
    <w:tmpl w:val="08946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88927BB"/>
    <w:multiLevelType w:val="hybridMultilevel"/>
    <w:tmpl w:val="DE82AA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3" w15:restartNumberingAfterBreak="0">
    <w:nsid w:val="68C76B0C"/>
    <w:multiLevelType w:val="hybridMultilevel"/>
    <w:tmpl w:val="1926478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4" w15:restartNumberingAfterBreak="0">
    <w:nsid w:val="691924E0"/>
    <w:multiLevelType w:val="hybridMultilevel"/>
    <w:tmpl w:val="D79297A6"/>
    <w:lvl w:ilvl="0" w:tplc="4A8A0974">
      <w:start w:val="9"/>
      <w:numFmt w:val="decimal"/>
      <w:lvlText w:val="%1."/>
      <w:lvlJc w:val="left"/>
      <w:pPr>
        <w:ind w:left="360" w:hanging="360"/>
      </w:pPr>
      <w:rPr>
        <w:rFonts w:hint="default"/>
        <w:b/>
        <w:sz w:val="28"/>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75" w15:restartNumberingAfterBreak="0">
    <w:nsid w:val="69384C5E"/>
    <w:multiLevelType w:val="hybridMultilevel"/>
    <w:tmpl w:val="105E4A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6" w15:restartNumberingAfterBreak="0">
    <w:nsid w:val="69F470B9"/>
    <w:multiLevelType w:val="hybridMultilevel"/>
    <w:tmpl w:val="12B4CF9A"/>
    <w:lvl w:ilvl="0" w:tplc="005876C0">
      <w:start w:val="1"/>
      <w:numFmt w:val="bullet"/>
      <w:lvlText w:val=""/>
      <w:lvlJc w:val="left"/>
      <w:pPr>
        <w:ind w:left="360" w:hanging="360"/>
      </w:pPr>
      <w:rPr>
        <w:rFonts w:ascii="Wingdings" w:hAnsi="Wingdings" w:hint="default"/>
        <w:sz w:val="24"/>
        <w:szCs w:val="28"/>
      </w:rPr>
    </w:lvl>
    <w:lvl w:ilvl="1" w:tplc="40090003" w:tentative="1">
      <w:start w:val="1"/>
      <w:numFmt w:val="bullet"/>
      <w:lvlText w:val="o"/>
      <w:lvlJc w:val="left"/>
      <w:pPr>
        <w:ind w:left="1298" w:hanging="360"/>
      </w:pPr>
      <w:rPr>
        <w:rFonts w:ascii="Courier New" w:hAnsi="Courier New" w:cs="Courier New" w:hint="default"/>
      </w:rPr>
    </w:lvl>
    <w:lvl w:ilvl="2" w:tplc="40090005" w:tentative="1">
      <w:start w:val="1"/>
      <w:numFmt w:val="bullet"/>
      <w:lvlText w:val=""/>
      <w:lvlJc w:val="left"/>
      <w:pPr>
        <w:ind w:left="2018" w:hanging="360"/>
      </w:pPr>
      <w:rPr>
        <w:rFonts w:ascii="Wingdings" w:hAnsi="Wingdings" w:hint="default"/>
      </w:rPr>
    </w:lvl>
    <w:lvl w:ilvl="3" w:tplc="40090001" w:tentative="1">
      <w:start w:val="1"/>
      <w:numFmt w:val="bullet"/>
      <w:lvlText w:val=""/>
      <w:lvlJc w:val="left"/>
      <w:pPr>
        <w:ind w:left="2738" w:hanging="360"/>
      </w:pPr>
      <w:rPr>
        <w:rFonts w:ascii="Symbol" w:hAnsi="Symbol" w:hint="default"/>
      </w:rPr>
    </w:lvl>
    <w:lvl w:ilvl="4" w:tplc="40090003" w:tentative="1">
      <w:start w:val="1"/>
      <w:numFmt w:val="bullet"/>
      <w:lvlText w:val="o"/>
      <w:lvlJc w:val="left"/>
      <w:pPr>
        <w:ind w:left="3458" w:hanging="360"/>
      </w:pPr>
      <w:rPr>
        <w:rFonts w:ascii="Courier New" w:hAnsi="Courier New" w:cs="Courier New" w:hint="default"/>
      </w:rPr>
    </w:lvl>
    <w:lvl w:ilvl="5" w:tplc="40090005" w:tentative="1">
      <w:start w:val="1"/>
      <w:numFmt w:val="bullet"/>
      <w:lvlText w:val=""/>
      <w:lvlJc w:val="left"/>
      <w:pPr>
        <w:ind w:left="4178" w:hanging="360"/>
      </w:pPr>
      <w:rPr>
        <w:rFonts w:ascii="Wingdings" w:hAnsi="Wingdings" w:hint="default"/>
      </w:rPr>
    </w:lvl>
    <w:lvl w:ilvl="6" w:tplc="40090001" w:tentative="1">
      <w:start w:val="1"/>
      <w:numFmt w:val="bullet"/>
      <w:lvlText w:val=""/>
      <w:lvlJc w:val="left"/>
      <w:pPr>
        <w:ind w:left="4898" w:hanging="360"/>
      </w:pPr>
      <w:rPr>
        <w:rFonts w:ascii="Symbol" w:hAnsi="Symbol" w:hint="default"/>
      </w:rPr>
    </w:lvl>
    <w:lvl w:ilvl="7" w:tplc="40090003" w:tentative="1">
      <w:start w:val="1"/>
      <w:numFmt w:val="bullet"/>
      <w:lvlText w:val="o"/>
      <w:lvlJc w:val="left"/>
      <w:pPr>
        <w:ind w:left="5618" w:hanging="360"/>
      </w:pPr>
      <w:rPr>
        <w:rFonts w:ascii="Courier New" w:hAnsi="Courier New" w:cs="Courier New" w:hint="default"/>
      </w:rPr>
    </w:lvl>
    <w:lvl w:ilvl="8" w:tplc="40090005" w:tentative="1">
      <w:start w:val="1"/>
      <w:numFmt w:val="bullet"/>
      <w:lvlText w:val=""/>
      <w:lvlJc w:val="left"/>
      <w:pPr>
        <w:ind w:left="6338" w:hanging="360"/>
      </w:pPr>
      <w:rPr>
        <w:rFonts w:ascii="Wingdings" w:hAnsi="Wingdings" w:hint="default"/>
      </w:rPr>
    </w:lvl>
  </w:abstractNum>
  <w:abstractNum w:abstractNumId="177" w15:restartNumberingAfterBreak="0">
    <w:nsid w:val="6BE2035A"/>
    <w:multiLevelType w:val="hybridMultilevel"/>
    <w:tmpl w:val="A00ECB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8" w15:restartNumberingAfterBreak="0">
    <w:nsid w:val="6C195C11"/>
    <w:multiLevelType w:val="hybridMultilevel"/>
    <w:tmpl w:val="8282587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9" w15:restartNumberingAfterBreak="0">
    <w:nsid w:val="6C8155B1"/>
    <w:multiLevelType w:val="hybridMultilevel"/>
    <w:tmpl w:val="9CC0ECA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80" w15:restartNumberingAfterBreak="0">
    <w:nsid w:val="6D8F68B1"/>
    <w:multiLevelType w:val="hybridMultilevel"/>
    <w:tmpl w:val="2C147F4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1" w15:restartNumberingAfterBreak="0">
    <w:nsid w:val="6E046411"/>
    <w:multiLevelType w:val="hybridMultilevel"/>
    <w:tmpl w:val="4D7E2EA6"/>
    <w:lvl w:ilvl="0" w:tplc="40090009">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82" w15:restartNumberingAfterBreak="0">
    <w:nsid w:val="726024F5"/>
    <w:multiLevelType w:val="hybridMultilevel"/>
    <w:tmpl w:val="0D8029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3" w15:restartNumberingAfterBreak="0">
    <w:nsid w:val="72627B1F"/>
    <w:multiLevelType w:val="hybridMultilevel"/>
    <w:tmpl w:val="3EFEFB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4" w15:restartNumberingAfterBreak="0">
    <w:nsid w:val="729C16E0"/>
    <w:multiLevelType w:val="hybridMultilevel"/>
    <w:tmpl w:val="71EAA19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5" w15:restartNumberingAfterBreak="0">
    <w:nsid w:val="7304430F"/>
    <w:multiLevelType w:val="hybridMultilevel"/>
    <w:tmpl w:val="9A6824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6" w15:restartNumberingAfterBreak="0">
    <w:nsid w:val="73B53D00"/>
    <w:multiLevelType w:val="hybridMultilevel"/>
    <w:tmpl w:val="3104E354"/>
    <w:lvl w:ilvl="0" w:tplc="04090009">
      <w:start w:val="1"/>
      <w:numFmt w:val="bullet"/>
      <w:lvlText w:val=""/>
      <w:lvlJc w:val="left"/>
      <w:pPr>
        <w:ind w:left="360" w:hanging="360"/>
      </w:pPr>
      <w:rPr>
        <w:rFonts w:ascii="Wingdings" w:hAnsi="Wingdings" w:hint="default"/>
        <w:sz w:val="24"/>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87" w15:restartNumberingAfterBreak="0">
    <w:nsid w:val="759062D1"/>
    <w:multiLevelType w:val="hybridMultilevel"/>
    <w:tmpl w:val="88E8D6C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8" w15:restartNumberingAfterBreak="0">
    <w:nsid w:val="771942EA"/>
    <w:multiLevelType w:val="hybridMultilevel"/>
    <w:tmpl w:val="BADCFFC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9" w15:restartNumberingAfterBreak="0">
    <w:nsid w:val="774A3441"/>
    <w:multiLevelType w:val="multilevel"/>
    <w:tmpl w:val="C88ACE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0" w15:restartNumberingAfterBreak="0">
    <w:nsid w:val="774B4D0D"/>
    <w:multiLevelType w:val="multilevel"/>
    <w:tmpl w:val="56B836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1" w15:restartNumberingAfterBreak="0">
    <w:nsid w:val="776B234E"/>
    <w:multiLevelType w:val="multilevel"/>
    <w:tmpl w:val="5FCA396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92" w15:restartNumberingAfterBreak="0">
    <w:nsid w:val="79BA2F57"/>
    <w:multiLevelType w:val="hybridMultilevel"/>
    <w:tmpl w:val="B09E1074"/>
    <w:lvl w:ilvl="0" w:tplc="47A64166">
      <w:start w:val="1"/>
      <w:numFmt w:val="bullet"/>
      <w:lvlText w:val=""/>
      <w:lvlJc w:val="left"/>
      <w:pPr>
        <w:ind w:left="360" w:hanging="360"/>
      </w:pPr>
      <w:rPr>
        <w:rFonts w:ascii="Symbol" w:hAnsi="Symbol" w:hint="default"/>
        <w:sz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3" w15:restartNumberingAfterBreak="0">
    <w:nsid w:val="79D24816"/>
    <w:multiLevelType w:val="hybridMultilevel"/>
    <w:tmpl w:val="620CE4A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4" w15:restartNumberingAfterBreak="0">
    <w:nsid w:val="7A167692"/>
    <w:multiLevelType w:val="hybridMultilevel"/>
    <w:tmpl w:val="3B3859E0"/>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95" w15:restartNumberingAfterBreak="0">
    <w:nsid w:val="7A170C28"/>
    <w:multiLevelType w:val="hybridMultilevel"/>
    <w:tmpl w:val="243437BE"/>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96" w15:restartNumberingAfterBreak="0">
    <w:nsid w:val="7B9C6B7A"/>
    <w:multiLevelType w:val="hybridMultilevel"/>
    <w:tmpl w:val="886AE9F2"/>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7" w15:restartNumberingAfterBreak="0">
    <w:nsid w:val="7CF75C49"/>
    <w:multiLevelType w:val="hybridMultilevel"/>
    <w:tmpl w:val="30A8E4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8" w15:restartNumberingAfterBreak="0">
    <w:nsid w:val="7D5B6E56"/>
    <w:multiLevelType w:val="hybridMultilevel"/>
    <w:tmpl w:val="4850977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9" w15:restartNumberingAfterBreak="0">
    <w:nsid w:val="7D8B0B7C"/>
    <w:multiLevelType w:val="multilevel"/>
    <w:tmpl w:val="7D8B0B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0" w15:restartNumberingAfterBreak="0">
    <w:nsid w:val="7DB319E5"/>
    <w:multiLevelType w:val="multilevel"/>
    <w:tmpl w:val="52EA43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1" w15:restartNumberingAfterBreak="0">
    <w:nsid w:val="7DC83AD5"/>
    <w:multiLevelType w:val="hybridMultilevel"/>
    <w:tmpl w:val="DB200354"/>
    <w:lvl w:ilvl="0" w:tplc="40090001">
      <w:start w:val="1"/>
      <w:numFmt w:val="bullet"/>
      <w:lvlText w:val=""/>
      <w:lvlJc w:val="left"/>
      <w:pPr>
        <w:ind w:left="502" w:hanging="360"/>
      </w:pPr>
      <w:rPr>
        <w:rFonts w:ascii="Symbol" w:hAnsi="Symbol" w:hint="default"/>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abstractNum w:abstractNumId="202" w15:restartNumberingAfterBreak="0">
    <w:nsid w:val="7E6239D6"/>
    <w:multiLevelType w:val="hybridMultilevel"/>
    <w:tmpl w:val="6994C6CE"/>
    <w:lvl w:ilvl="0" w:tplc="47A64166">
      <w:start w:val="1"/>
      <w:numFmt w:val="bullet"/>
      <w:lvlText w:val=""/>
      <w:lvlJc w:val="left"/>
      <w:pPr>
        <w:ind w:left="360" w:hanging="360"/>
      </w:pPr>
      <w:rPr>
        <w:rFonts w:ascii="Symbol" w:hAnsi="Symbol" w:hint="default"/>
        <w:sz w:val="24"/>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16cid:durableId="1939672749">
    <w:abstractNumId w:val="92"/>
  </w:num>
  <w:num w:numId="2" w16cid:durableId="1457528323">
    <w:abstractNumId w:val="140"/>
  </w:num>
  <w:num w:numId="3" w16cid:durableId="223685934">
    <w:abstractNumId w:val="55"/>
  </w:num>
  <w:num w:numId="4" w16cid:durableId="1483889735">
    <w:abstractNumId w:val="154"/>
  </w:num>
  <w:num w:numId="5" w16cid:durableId="1718777086">
    <w:abstractNumId w:val="66"/>
  </w:num>
  <w:num w:numId="6" w16cid:durableId="1600337186">
    <w:abstractNumId w:val="43"/>
  </w:num>
  <w:num w:numId="7" w16cid:durableId="1134643519">
    <w:abstractNumId w:val="50"/>
  </w:num>
  <w:num w:numId="8" w16cid:durableId="1019159417">
    <w:abstractNumId w:val="123"/>
  </w:num>
  <w:num w:numId="9" w16cid:durableId="562638001">
    <w:abstractNumId w:val="57"/>
  </w:num>
  <w:num w:numId="10" w16cid:durableId="76753659">
    <w:abstractNumId w:val="120"/>
  </w:num>
  <w:num w:numId="11" w16cid:durableId="1197308431">
    <w:abstractNumId w:val="96"/>
  </w:num>
  <w:num w:numId="12" w16cid:durableId="506676246">
    <w:abstractNumId w:val="52"/>
  </w:num>
  <w:num w:numId="13" w16cid:durableId="1177885182">
    <w:abstractNumId w:val="108"/>
  </w:num>
  <w:num w:numId="14" w16cid:durableId="142082465">
    <w:abstractNumId w:val="145"/>
  </w:num>
  <w:num w:numId="15" w16cid:durableId="303125098">
    <w:abstractNumId w:val="175"/>
  </w:num>
  <w:num w:numId="16" w16cid:durableId="1690835468">
    <w:abstractNumId w:val="30"/>
  </w:num>
  <w:num w:numId="17" w16cid:durableId="422603491">
    <w:abstractNumId w:val="2"/>
  </w:num>
  <w:num w:numId="18" w16cid:durableId="446966167">
    <w:abstractNumId w:val="94"/>
  </w:num>
  <w:num w:numId="19" w16cid:durableId="326325123">
    <w:abstractNumId w:val="0"/>
  </w:num>
  <w:num w:numId="20" w16cid:durableId="571433124">
    <w:abstractNumId w:val="147"/>
  </w:num>
  <w:num w:numId="21" w16cid:durableId="1535459009">
    <w:abstractNumId w:val="114"/>
  </w:num>
  <w:num w:numId="22" w16cid:durableId="525675620">
    <w:abstractNumId w:val="124"/>
  </w:num>
  <w:num w:numId="23" w16cid:durableId="1779836240">
    <w:abstractNumId w:val="80"/>
  </w:num>
  <w:num w:numId="24" w16cid:durableId="268389989">
    <w:abstractNumId w:val="117"/>
  </w:num>
  <w:num w:numId="25" w16cid:durableId="1678539054">
    <w:abstractNumId w:val="119"/>
  </w:num>
  <w:num w:numId="26" w16cid:durableId="401371811">
    <w:abstractNumId w:val="86"/>
  </w:num>
  <w:num w:numId="27" w16cid:durableId="492718692">
    <w:abstractNumId w:val="85"/>
  </w:num>
  <w:num w:numId="28" w16cid:durableId="1856654240">
    <w:abstractNumId w:val="19"/>
  </w:num>
  <w:num w:numId="29" w16cid:durableId="1870529933">
    <w:abstractNumId w:val="6"/>
  </w:num>
  <w:num w:numId="30" w16cid:durableId="1795245948">
    <w:abstractNumId w:val="23"/>
  </w:num>
  <w:num w:numId="31" w16cid:durableId="1519155824">
    <w:abstractNumId w:val="16"/>
  </w:num>
  <w:num w:numId="32" w16cid:durableId="421802459">
    <w:abstractNumId w:val="21"/>
  </w:num>
  <w:num w:numId="33" w16cid:durableId="249974631">
    <w:abstractNumId w:val="10"/>
  </w:num>
  <w:num w:numId="34" w16cid:durableId="1617760937">
    <w:abstractNumId w:val="4"/>
  </w:num>
  <w:num w:numId="35" w16cid:durableId="1083451451">
    <w:abstractNumId w:val="9"/>
  </w:num>
  <w:num w:numId="36" w16cid:durableId="1421291062">
    <w:abstractNumId w:val="20"/>
  </w:num>
  <w:num w:numId="37" w16cid:durableId="166675318">
    <w:abstractNumId w:val="15"/>
  </w:num>
  <w:num w:numId="38" w16cid:durableId="1906837452">
    <w:abstractNumId w:val="12"/>
  </w:num>
  <w:num w:numId="39" w16cid:durableId="978536757">
    <w:abstractNumId w:val="7"/>
  </w:num>
  <w:num w:numId="40" w16cid:durableId="1435176568">
    <w:abstractNumId w:val="24"/>
  </w:num>
  <w:num w:numId="41" w16cid:durableId="292949664">
    <w:abstractNumId w:val="8"/>
  </w:num>
  <w:num w:numId="42" w16cid:durableId="1953510154">
    <w:abstractNumId w:val="17"/>
  </w:num>
  <w:num w:numId="43" w16cid:durableId="29577503">
    <w:abstractNumId w:val="11"/>
  </w:num>
  <w:num w:numId="44" w16cid:durableId="249390630">
    <w:abstractNumId w:val="14"/>
  </w:num>
  <w:num w:numId="45" w16cid:durableId="956645159">
    <w:abstractNumId w:val="18"/>
  </w:num>
  <w:num w:numId="46" w16cid:durableId="1144616786">
    <w:abstractNumId w:val="5"/>
  </w:num>
  <w:num w:numId="47" w16cid:durableId="712197257">
    <w:abstractNumId w:val="191"/>
  </w:num>
  <w:num w:numId="48" w16cid:durableId="909732140">
    <w:abstractNumId w:val="22"/>
  </w:num>
  <w:num w:numId="49" w16cid:durableId="1597011818">
    <w:abstractNumId w:val="13"/>
  </w:num>
  <w:num w:numId="50" w16cid:durableId="1296452746">
    <w:abstractNumId w:val="3"/>
  </w:num>
  <w:num w:numId="51" w16cid:durableId="1128086217">
    <w:abstractNumId w:val="172"/>
  </w:num>
  <w:num w:numId="52" w16cid:durableId="1051928118">
    <w:abstractNumId w:val="64"/>
  </w:num>
  <w:num w:numId="53" w16cid:durableId="2067795686">
    <w:abstractNumId w:val="100"/>
  </w:num>
  <w:num w:numId="54" w16cid:durableId="2065564496">
    <w:abstractNumId w:val="34"/>
  </w:num>
  <w:num w:numId="55" w16cid:durableId="1610888266">
    <w:abstractNumId w:val="45"/>
  </w:num>
  <w:num w:numId="56" w16cid:durableId="1974820715">
    <w:abstractNumId w:val="158"/>
  </w:num>
  <w:num w:numId="57" w16cid:durableId="437263250">
    <w:abstractNumId w:val="77"/>
  </w:num>
  <w:num w:numId="58" w16cid:durableId="256908244">
    <w:abstractNumId w:val="199"/>
  </w:num>
  <w:num w:numId="59" w16cid:durableId="915674540">
    <w:abstractNumId w:val="44"/>
  </w:num>
  <w:num w:numId="60" w16cid:durableId="1056052547">
    <w:abstractNumId w:val="128"/>
  </w:num>
  <w:num w:numId="61" w16cid:durableId="707025980">
    <w:abstractNumId w:val="29"/>
  </w:num>
  <w:num w:numId="62" w16cid:durableId="402260859">
    <w:abstractNumId w:val="82"/>
  </w:num>
  <w:num w:numId="63" w16cid:durableId="1527675516">
    <w:abstractNumId w:val="41"/>
  </w:num>
  <w:num w:numId="64" w16cid:durableId="1675372802">
    <w:abstractNumId w:val="74"/>
  </w:num>
  <w:num w:numId="65" w16cid:durableId="1133331857">
    <w:abstractNumId w:val="72"/>
  </w:num>
  <w:num w:numId="66" w16cid:durableId="2101486374">
    <w:abstractNumId w:val="89"/>
  </w:num>
  <w:num w:numId="67" w16cid:durableId="1348485068">
    <w:abstractNumId w:val="104"/>
  </w:num>
  <w:num w:numId="68" w16cid:durableId="214126048">
    <w:abstractNumId w:val="155"/>
  </w:num>
  <w:num w:numId="69" w16cid:durableId="10105932">
    <w:abstractNumId w:val="56"/>
  </w:num>
  <w:num w:numId="70" w16cid:durableId="1617053650">
    <w:abstractNumId w:val="136"/>
  </w:num>
  <w:num w:numId="71" w16cid:durableId="1422796748">
    <w:abstractNumId w:val="182"/>
  </w:num>
  <w:num w:numId="72" w16cid:durableId="44451291">
    <w:abstractNumId w:val="125"/>
  </w:num>
  <w:num w:numId="73" w16cid:durableId="1121918679">
    <w:abstractNumId w:val="131"/>
  </w:num>
  <w:num w:numId="74" w16cid:durableId="345401558">
    <w:abstractNumId w:val="103"/>
  </w:num>
  <w:num w:numId="75" w16cid:durableId="1545410139">
    <w:abstractNumId w:val="164"/>
  </w:num>
  <w:num w:numId="76" w16cid:durableId="1710033269">
    <w:abstractNumId w:val="202"/>
  </w:num>
  <w:num w:numId="77" w16cid:durableId="1733000255">
    <w:abstractNumId w:val="67"/>
  </w:num>
  <w:num w:numId="78" w16cid:durableId="1975284083">
    <w:abstractNumId w:val="192"/>
  </w:num>
  <w:num w:numId="79" w16cid:durableId="1454399979">
    <w:abstractNumId w:val="39"/>
  </w:num>
  <w:num w:numId="80" w16cid:durableId="6371222">
    <w:abstractNumId w:val="28"/>
  </w:num>
  <w:num w:numId="81" w16cid:durableId="1739858811">
    <w:abstractNumId w:val="40"/>
  </w:num>
  <w:num w:numId="82" w16cid:durableId="905527852">
    <w:abstractNumId w:val="53"/>
  </w:num>
  <w:num w:numId="83" w16cid:durableId="1282803228">
    <w:abstractNumId w:val="179"/>
  </w:num>
  <w:num w:numId="84" w16cid:durableId="2062091170">
    <w:abstractNumId w:val="83"/>
  </w:num>
  <w:num w:numId="85" w16cid:durableId="311299610">
    <w:abstractNumId w:val="181"/>
  </w:num>
  <w:num w:numId="86" w16cid:durableId="434176871">
    <w:abstractNumId w:val="174"/>
  </w:num>
  <w:num w:numId="87" w16cid:durableId="2097558917">
    <w:abstractNumId w:val="115"/>
  </w:num>
  <w:num w:numId="88" w16cid:durableId="1594391132">
    <w:abstractNumId w:val="173"/>
  </w:num>
  <w:num w:numId="89" w16cid:durableId="322659683">
    <w:abstractNumId w:val="163"/>
  </w:num>
  <w:num w:numId="90" w16cid:durableId="319234080">
    <w:abstractNumId w:val="75"/>
  </w:num>
  <w:num w:numId="91" w16cid:durableId="915743929">
    <w:abstractNumId w:val="187"/>
  </w:num>
  <w:num w:numId="92" w16cid:durableId="216942312">
    <w:abstractNumId w:val="159"/>
  </w:num>
  <w:num w:numId="93" w16cid:durableId="260917059">
    <w:abstractNumId w:val="130"/>
  </w:num>
  <w:num w:numId="94" w16cid:durableId="1908607178">
    <w:abstractNumId w:val="148"/>
  </w:num>
  <w:num w:numId="95" w16cid:durableId="1948734715">
    <w:abstractNumId w:val="176"/>
  </w:num>
  <w:num w:numId="96" w16cid:durableId="1214585989">
    <w:abstractNumId w:val="193"/>
  </w:num>
  <w:num w:numId="97" w16cid:durableId="241835429">
    <w:abstractNumId w:val="167"/>
  </w:num>
  <w:num w:numId="98" w16cid:durableId="1386445582">
    <w:abstractNumId w:val="111"/>
  </w:num>
  <w:num w:numId="99" w16cid:durableId="351732792">
    <w:abstractNumId w:val="195"/>
  </w:num>
  <w:num w:numId="100" w16cid:durableId="905145066">
    <w:abstractNumId w:val="153"/>
  </w:num>
  <w:num w:numId="101" w16cid:durableId="1787892056">
    <w:abstractNumId w:val="73"/>
  </w:num>
  <w:num w:numId="102" w16cid:durableId="2012222097">
    <w:abstractNumId w:val="61"/>
  </w:num>
  <w:num w:numId="103" w16cid:durableId="1830248808">
    <w:abstractNumId w:val="156"/>
  </w:num>
  <w:num w:numId="104" w16cid:durableId="771630019">
    <w:abstractNumId w:val="135"/>
  </w:num>
  <w:num w:numId="105" w16cid:durableId="1550914005">
    <w:abstractNumId w:val="26"/>
  </w:num>
  <w:num w:numId="106" w16cid:durableId="1319119010">
    <w:abstractNumId w:val="36"/>
  </w:num>
  <w:num w:numId="107" w16cid:durableId="1062825458">
    <w:abstractNumId w:val="59"/>
  </w:num>
  <w:num w:numId="108" w16cid:durableId="643854230">
    <w:abstractNumId w:val="63"/>
  </w:num>
  <w:num w:numId="109" w16cid:durableId="448204463">
    <w:abstractNumId w:val="112"/>
  </w:num>
  <w:num w:numId="110" w16cid:durableId="709645956">
    <w:abstractNumId w:val="110"/>
  </w:num>
  <w:num w:numId="111" w16cid:durableId="2071079034">
    <w:abstractNumId w:val="37"/>
  </w:num>
  <w:num w:numId="112" w16cid:durableId="797188236">
    <w:abstractNumId w:val="166"/>
  </w:num>
  <w:num w:numId="113" w16cid:durableId="1493638231">
    <w:abstractNumId w:val="157"/>
  </w:num>
  <w:num w:numId="114" w16cid:durableId="132187004">
    <w:abstractNumId w:val="129"/>
  </w:num>
  <w:num w:numId="115" w16cid:durableId="2110537572">
    <w:abstractNumId w:val="189"/>
  </w:num>
  <w:num w:numId="116" w16cid:durableId="1217862538">
    <w:abstractNumId w:val="33"/>
  </w:num>
  <w:num w:numId="117" w16cid:durableId="1801533169">
    <w:abstractNumId w:val="200"/>
  </w:num>
  <w:num w:numId="118" w16cid:durableId="1894802947">
    <w:abstractNumId w:val="190"/>
  </w:num>
  <w:num w:numId="119" w16cid:durableId="14424756">
    <w:abstractNumId w:val="139"/>
  </w:num>
  <w:num w:numId="120" w16cid:durableId="1861814549">
    <w:abstractNumId w:val="107"/>
  </w:num>
  <w:num w:numId="121" w16cid:durableId="614095047">
    <w:abstractNumId w:val="71"/>
  </w:num>
  <w:num w:numId="122" w16cid:durableId="1064911428">
    <w:abstractNumId w:val="180"/>
  </w:num>
  <w:num w:numId="123" w16cid:durableId="497380125">
    <w:abstractNumId w:val="91"/>
  </w:num>
  <w:num w:numId="124" w16cid:durableId="1645813773">
    <w:abstractNumId w:val="146"/>
  </w:num>
  <w:num w:numId="125" w16cid:durableId="1627200939">
    <w:abstractNumId w:val="118"/>
  </w:num>
  <w:num w:numId="126" w16cid:durableId="1518158708">
    <w:abstractNumId w:val="196"/>
  </w:num>
  <w:num w:numId="127" w16cid:durableId="1644773687">
    <w:abstractNumId w:val="144"/>
  </w:num>
  <w:num w:numId="128" w16cid:durableId="530538106">
    <w:abstractNumId w:val="76"/>
  </w:num>
  <w:num w:numId="129" w16cid:durableId="1727874193">
    <w:abstractNumId w:val="90"/>
  </w:num>
  <w:num w:numId="130" w16cid:durableId="1453137605">
    <w:abstractNumId w:val="54"/>
  </w:num>
  <w:num w:numId="131" w16cid:durableId="402526534">
    <w:abstractNumId w:val="137"/>
  </w:num>
  <w:num w:numId="132" w16cid:durableId="1037587148">
    <w:abstractNumId w:val="88"/>
  </w:num>
  <w:num w:numId="133" w16cid:durableId="1192493748">
    <w:abstractNumId w:val="168"/>
  </w:num>
  <w:num w:numId="134" w16cid:durableId="477839130">
    <w:abstractNumId w:val="32"/>
  </w:num>
  <w:num w:numId="135" w16cid:durableId="429280674">
    <w:abstractNumId w:val="38"/>
  </w:num>
  <w:num w:numId="136" w16cid:durableId="594829381">
    <w:abstractNumId w:val="49"/>
  </w:num>
  <w:num w:numId="137" w16cid:durableId="1750080641">
    <w:abstractNumId w:val="132"/>
  </w:num>
  <w:num w:numId="138" w16cid:durableId="4524356">
    <w:abstractNumId w:val="101"/>
  </w:num>
  <w:num w:numId="139" w16cid:durableId="1742286696">
    <w:abstractNumId w:val="183"/>
  </w:num>
  <w:num w:numId="140" w16cid:durableId="155078191">
    <w:abstractNumId w:val="65"/>
  </w:num>
  <w:num w:numId="141" w16cid:durableId="969359177">
    <w:abstractNumId w:val="170"/>
  </w:num>
  <w:num w:numId="142" w16cid:durableId="534735854">
    <w:abstractNumId w:val="69"/>
  </w:num>
  <w:num w:numId="143" w16cid:durableId="48922337">
    <w:abstractNumId w:val="68"/>
  </w:num>
  <w:num w:numId="144" w16cid:durableId="1591697743">
    <w:abstractNumId w:val="152"/>
  </w:num>
  <w:num w:numId="145" w16cid:durableId="174653519">
    <w:abstractNumId w:val="98"/>
  </w:num>
  <w:num w:numId="146" w16cid:durableId="297687018">
    <w:abstractNumId w:val="185"/>
  </w:num>
  <w:num w:numId="147" w16cid:durableId="1549756112">
    <w:abstractNumId w:val="197"/>
  </w:num>
  <w:num w:numId="148" w16cid:durableId="1975507">
    <w:abstractNumId w:val="184"/>
  </w:num>
  <w:num w:numId="149" w16cid:durableId="1884321169">
    <w:abstractNumId w:val="186"/>
  </w:num>
  <w:num w:numId="150" w16cid:durableId="1770613005">
    <w:abstractNumId w:val="177"/>
  </w:num>
  <w:num w:numId="151" w16cid:durableId="1399209910">
    <w:abstractNumId w:val="162"/>
  </w:num>
  <w:num w:numId="152" w16cid:durableId="807667063">
    <w:abstractNumId w:val="151"/>
  </w:num>
  <w:num w:numId="153" w16cid:durableId="698749200">
    <w:abstractNumId w:val="143"/>
  </w:num>
  <w:num w:numId="154" w16cid:durableId="148249083">
    <w:abstractNumId w:val="165"/>
  </w:num>
  <w:num w:numId="155" w16cid:durableId="1326546486">
    <w:abstractNumId w:val="47"/>
  </w:num>
  <w:num w:numId="156" w16cid:durableId="361441600">
    <w:abstractNumId w:val="102"/>
  </w:num>
  <w:num w:numId="157" w16cid:durableId="1844930469">
    <w:abstractNumId w:val="198"/>
  </w:num>
  <w:num w:numId="158" w16cid:durableId="236593437">
    <w:abstractNumId w:val="62"/>
  </w:num>
  <w:num w:numId="159" w16cid:durableId="382488481">
    <w:abstractNumId w:val="84"/>
  </w:num>
  <w:num w:numId="160" w16cid:durableId="1108620461">
    <w:abstractNumId w:val="60"/>
  </w:num>
  <w:num w:numId="161" w16cid:durableId="1582372790">
    <w:abstractNumId w:val="160"/>
  </w:num>
  <w:num w:numId="162" w16cid:durableId="400719241">
    <w:abstractNumId w:val="113"/>
  </w:num>
  <w:num w:numId="163" w16cid:durableId="1546940742">
    <w:abstractNumId w:val="134"/>
  </w:num>
  <w:num w:numId="164" w16cid:durableId="1389063557">
    <w:abstractNumId w:val="169"/>
  </w:num>
  <w:num w:numId="165" w16cid:durableId="401414851">
    <w:abstractNumId w:val="161"/>
  </w:num>
  <w:num w:numId="166" w16cid:durableId="1541896691">
    <w:abstractNumId w:val="51"/>
  </w:num>
  <w:num w:numId="167" w16cid:durableId="1289047332">
    <w:abstractNumId w:val="79"/>
  </w:num>
  <w:num w:numId="168" w16cid:durableId="441875553">
    <w:abstractNumId w:val="93"/>
  </w:num>
  <w:num w:numId="169" w16cid:durableId="321934627">
    <w:abstractNumId w:val="1"/>
  </w:num>
  <w:num w:numId="170" w16cid:durableId="1387876211">
    <w:abstractNumId w:val="126"/>
  </w:num>
  <w:num w:numId="171" w16cid:durableId="979649427">
    <w:abstractNumId w:val="78"/>
  </w:num>
  <w:num w:numId="172" w16cid:durableId="1142893998">
    <w:abstractNumId w:val="116"/>
  </w:num>
  <w:num w:numId="173" w16cid:durableId="130251100">
    <w:abstractNumId w:val="81"/>
  </w:num>
  <w:num w:numId="174" w16cid:durableId="501554780">
    <w:abstractNumId w:val="149"/>
  </w:num>
  <w:num w:numId="175" w16cid:durableId="1287004735">
    <w:abstractNumId w:val="58"/>
  </w:num>
  <w:num w:numId="176" w16cid:durableId="2142729061">
    <w:abstractNumId w:val="109"/>
  </w:num>
  <w:num w:numId="177" w16cid:durableId="1567295764">
    <w:abstractNumId w:val="188"/>
  </w:num>
  <w:num w:numId="178" w16cid:durableId="1991906703">
    <w:abstractNumId w:val="138"/>
  </w:num>
  <w:num w:numId="179" w16cid:durableId="987905908">
    <w:abstractNumId w:val="46"/>
  </w:num>
  <w:num w:numId="180" w16cid:durableId="1516311423">
    <w:abstractNumId w:val="87"/>
  </w:num>
  <w:num w:numId="181" w16cid:durableId="1006984987">
    <w:abstractNumId w:val="141"/>
  </w:num>
  <w:num w:numId="182" w16cid:durableId="1632975694">
    <w:abstractNumId w:val="178"/>
  </w:num>
  <w:num w:numId="183" w16cid:durableId="2014338061">
    <w:abstractNumId w:val="127"/>
  </w:num>
  <w:num w:numId="184" w16cid:durableId="2079403981">
    <w:abstractNumId w:val="48"/>
  </w:num>
  <w:num w:numId="185" w16cid:durableId="1753045884">
    <w:abstractNumId w:val="97"/>
  </w:num>
  <w:num w:numId="186" w16cid:durableId="185607639">
    <w:abstractNumId w:val="122"/>
  </w:num>
  <w:num w:numId="187" w16cid:durableId="163403601">
    <w:abstractNumId w:val="42"/>
  </w:num>
  <w:num w:numId="188" w16cid:durableId="755131039">
    <w:abstractNumId w:val="150"/>
  </w:num>
  <w:num w:numId="189" w16cid:durableId="1886868044">
    <w:abstractNumId w:val="70"/>
  </w:num>
  <w:num w:numId="190" w16cid:durableId="1767656317">
    <w:abstractNumId w:val="133"/>
  </w:num>
  <w:num w:numId="191" w16cid:durableId="414519664">
    <w:abstractNumId w:val="95"/>
  </w:num>
  <w:num w:numId="192" w16cid:durableId="912861872">
    <w:abstractNumId w:val="99"/>
  </w:num>
  <w:num w:numId="193" w16cid:durableId="1866673402">
    <w:abstractNumId w:val="121"/>
  </w:num>
  <w:num w:numId="194" w16cid:durableId="1346056818">
    <w:abstractNumId w:val="35"/>
  </w:num>
  <w:num w:numId="195" w16cid:durableId="998072410">
    <w:abstractNumId w:val="201"/>
  </w:num>
  <w:num w:numId="196" w16cid:durableId="346366940">
    <w:abstractNumId w:val="194"/>
  </w:num>
  <w:num w:numId="197" w16cid:durableId="1783843824">
    <w:abstractNumId w:val="106"/>
  </w:num>
  <w:num w:numId="198" w16cid:durableId="1411922467">
    <w:abstractNumId w:val="25"/>
  </w:num>
  <w:num w:numId="199" w16cid:durableId="194545787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1079057621">
    <w:abstractNumId w:val="31"/>
  </w:num>
  <w:num w:numId="201" w16cid:durableId="1234118714">
    <w:abstractNumId w:val="142"/>
  </w:num>
  <w:num w:numId="202" w16cid:durableId="1878617077">
    <w:abstractNumId w:val="171"/>
  </w:num>
  <w:num w:numId="203" w16cid:durableId="1363285348">
    <w:abstractNumId w:val="10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275"/>
    <w:rsid w:val="000059B5"/>
    <w:rsid w:val="00006351"/>
    <w:rsid w:val="000101CB"/>
    <w:rsid w:val="00011BE2"/>
    <w:rsid w:val="00027265"/>
    <w:rsid w:val="00032C04"/>
    <w:rsid w:val="00060D72"/>
    <w:rsid w:val="0006423E"/>
    <w:rsid w:val="00092469"/>
    <w:rsid w:val="000C5631"/>
    <w:rsid w:val="000C7FF0"/>
    <w:rsid w:val="000E1924"/>
    <w:rsid w:val="000E3952"/>
    <w:rsid w:val="000E69C2"/>
    <w:rsid w:val="000F1094"/>
    <w:rsid w:val="00115CCD"/>
    <w:rsid w:val="001426F8"/>
    <w:rsid w:val="00144C02"/>
    <w:rsid w:val="0015270F"/>
    <w:rsid w:val="001564FF"/>
    <w:rsid w:val="001603C8"/>
    <w:rsid w:val="00182AA1"/>
    <w:rsid w:val="001937E7"/>
    <w:rsid w:val="00197DE0"/>
    <w:rsid w:val="001B5808"/>
    <w:rsid w:val="001E258A"/>
    <w:rsid w:val="001F1579"/>
    <w:rsid w:val="001F2A8A"/>
    <w:rsid w:val="0020794D"/>
    <w:rsid w:val="00217460"/>
    <w:rsid w:val="00226FE6"/>
    <w:rsid w:val="00244C12"/>
    <w:rsid w:val="00245175"/>
    <w:rsid w:val="002566D4"/>
    <w:rsid w:val="00277DF8"/>
    <w:rsid w:val="00280BE8"/>
    <w:rsid w:val="002A1147"/>
    <w:rsid w:val="002B347E"/>
    <w:rsid w:val="002D42FB"/>
    <w:rsid w:val="002D5275"/>
    <w:rsid w:val="002E1BAA"/>
    <w:rsid w:val="002E7C7E"/>
    <w:rsid w:val="00300842"/>
    <w:rsid w:val="00301BE1"/>
    <w:rsid w:val="00311FFD"/>
    <w:rsid w:val="00312BF8"/>
    <w:rsid w:val="00314D4E"/>
    <w:rsid w:val="00325F8C"/>
    <w:rsid w:val="0033334C"/>
    <w:rsid w:val="00335618"/>
    <w:rsid w:val="00337C77"/>
    <w:rsid w:val="00346C61"/>
    <w:rsid w:val="00367AAF"/>
    <w:rsid w:val="003808F3"/>
    <w:rsid w:val="003941E4"/>
    <w:rsid w:val="00396C69"/>
    <w:rsid w:val="003A54F6"/>
    <w:rsid w:val="003D5833"/>
    <w:rsid w:val="003E5C61"/>
    <w:rsid w:val="004002D8"/>
    <w:rsid w:val="00407420"/>
    <w:rsid w:val="004112FA"/>
    <w:rsid w:val="0041215D"/>
    <w:rsid w:val="00421F66"/>
    <w:rsid w:val="00423F34"/>
    <w:rsid w:val="00445F8A"/>
    <w:rsid w:val="004521BD"/>
    <w:rsid w:val="004620CF"/>
    <w:rsid w:val="00481866"/>
    <w:rsid w:val="00494A84"/>
    <w:rsid w:val="004A7E2A"/>
    <w:rsid w:val="004B4E59"/>
    <w:rsid w:val="004C5170"/>
    <w:rsid w:val="004C5B40"/>
    <w:rsid w:val="004C5D4C"/>
    <w:rsid w:val="004E6833"/>
    <w:rsid w:val="005012B6"/>
    <w:rsid w:val="005044B6"/>
    <w:rsid w:val="00511C10"/>
    <w:rsid w:val="00515ACC"/>
    <w:rsid w:val="00516F40"/>
    <w:rsid w:val="00524C2B"/>
    <w:rsid w:val="00525FC4"/>
    <w:rsid w:val="00536B0B"/>
    <w:rsid w:val="005376A1"/>
    <w:rsid w:val="00554EC5"/>
    <w:rsid w:val="0055516A"/>
    <w:rsid w:val="005673E3"/>
    <w:rsid w:val="00570392"/>
    <w:rsid w:val="00574B63"/>
    <w:rsid w:val="00575AA5"/>
    <w:rsid w:val="00596A03"/>
    <w:rsid w:val="005A53AC"/>
    <w:rsid w:val="005B48BC"/>
    <w:rsid w:val="005C16F0"/>
    <w:rsid w:val="005C1A14"/>
    <w:rsid w:val="005D0572"/>
    <w:rsid w:val="005D3D57"/>
    <w:rsid w:val="005D43DD"/>
    <w:rsid w:val="005E048A"/>
    <w:rsid w:val="005F18B1"/>
    <w:rsid w:val="00607276"/>
    <w:rsid w:val="006115BD"/>
    <w:rsid w:val="00613824"/>
    <w:rsid w:val="00617E9F"/>
    <w:rsid w:val="00643021"/>
    <w:rsid w:val="0064560A"/>
    <w:rsid w:val="00653CBB"/>
    <w:rsid w:val="006547C8"/>
    <w:rsid w:val="00683A49"/>
    <w:rsid w:val="006863FA"/>
    <w:rsid w:val="00690BC6"/>
    <w:rsid w:val="0069240D"/>
    <w:rsid w:val="006B5EDB"/>
    <w:rsid w:val="006F1CF7"/>
    <w:rsid w:val="006F54CA"/>
    <w:rsid w:val="00725515"/>
    <w:rsid w:val="00730343"/>
    <w:rsid w:val="0073659C"/>
    <w:rsid w:val="007435E7"/>
    <w:rsid w:val="00757B91"/>
    <w:rsid w:val="007622FD"/>
    <w:rsid w:val="007C39E7"/>
    <w:rsid w:val="007D0111"/>
    <w:rsid w:val="007E2E3F"/>
    <w:rsid w:val="007E4FEC"/>
    <w:rsid w:val="00811372"/>
    <w:rsid w:val="008206AE"/>
    <w:rsid w:val="008265AE"/>
    <w:rsid w:val="00835B93"/>
    <w:rsid w:val="00843587"/>
    <w:rsid w:val="008751F7"/>
    <w:rsid w:val="0088126C"/>
    <w:rsid w:val="00882B83"/>
    <w:rsid w:val="008A09A2"/>
    <w:rsid w:val="008A7194"/>
    <w:rsid w:val="008B47B9"/>
    <w:rsid w:val="008B5F0D"/>
    <w:rsid w:val="008C2FED"/>
    <w:rsid w:val="008C5B0B"/>
    <w:rsid w:val="008E0D58"/>
    <w:rsid w:val="009004D9"/>
    <w:rsid w:val="00910D79"/>
    <w:rsid w:val="0095232E"/>
    <w:rsid w:val="00955403"/>
    <w:rsid w:val="009678A9"/>
    <w:rsid w:val="009967DC"/>
    <w:rsid w:val="00997116"/>
    <w:rsid w:val="009B3AC3"/>
    <w:rsid w:val="009D116C"/>
    <w:rsid w:val="00A023F9"/>
    <w:rsid w:val="00A0496E"/>
    <w:rsid w:val="00A07C38"/>
    <w:rsid w:val="00A15209"/>
    <w:rsid w:val="00A25441"/>
    <w:rsid w:val="00A41121"/>
    <w:rsid w:val="00A4656A"/>
    <w:rsid w:val="00A608E4"/>
    <w:rsid w:val="00A74026"/>
    <w:rsid w:val="00A8230E"/>
    <w:rsid w:val="00AA50F3"/>
    <w:rsid w:val="00AB0AC1"/>
    <w:rsid w:val="00AB5D0F"/>
    <w:rsid w:val="00AB775C"/>
    <w:rsid w:val="00AC6E68"/>
    <w:rsid w:val="00AD277C"/>
    <w:rsid w:val="00AD2957"/>
    <w:rsid w:val="00AE68D0"/>
    <w:rsid w:val="00AF44AC"/>
    <w:rsid w:val="00B22DA8"/>
    <w:rsid w:val="00B42069"/>
    <w:rsid w:val="00B512EA"/>
    <w:rsid w:val="00B540CF"/>
    <w:rsid w:val="00B646F8"/>
    <w:rsid w:val="00BB7561"/>
    <w:rsid w:val="00BC4751"/>
    <w:rsid w:val="00BE15FE"/>
    <w:rsid w:val="00BF36FB"/>
    <w:rsid w:val="00C06EC9"/>
    <w:rsid w:val="00C25103"/>
    <w:rsid w:val="00C358A2"/>
    <w:rsid w:val="00C420BA"/>
    <w:rsid w:val="00C42760"/>
    <w:rsid w:val="00C6445A"/>
    <w:rsid w:val="00C808D5"/>
    <w:rsid w:val="00C83917"/>
    <w:rsid w:val="00C9293C"/>
    <w:rsid w:val="00CA38E2"/>
    <w:rsid w:val="00CB192B"/>
    <w:rsid w:val="00CB7953"/>
    <w:rsid w:val="00CC4A26"/>
    <w:rsid w:val="00CC4EC8"/>
    <w:rsid w:val="00CD3AC3"/>
    <w:rsid w:val="00CF0EAD"/>
    <w:rsid w:val="00CF7753"/>
    <w:rsid w:val="00D03E78"/>
    <w:rsid w:val="00D146C8"/>
    <w:rsid w:val="00D35897"/>
    <w:rsid w:val="00D64968"/>
    <w:rsid w:val="00D64EA9"/>
    <w:rsid w:val="00D822AC"/>
    <w:rsid w:val="00D86198"/>
    <w:rsid w:val="00D87FE2"/>
    <w:rsid w:val="00DA16B4"/>
    <w:rsid w:val="00DB7811"/>
    <w:rsid w:val="00DC4D09"/>
    <w:rsid w:val="00DD489C"/>
    <w:rsid w:val="00DF03F4"/>
    <w:rsid w:val="00E03F1B"/>
    <w:rsid w:val="00E2481A"/>
    <w:rsid w:val="00E34106"/>
    <w:rsid w:val="00E4598C"/>
    <w:rsid w:val="00E4663A"/>
    <w:rsid w:val="00E46F5B"/>
    <w:rsid w:val="00E512A3"/>
    <w:rsid w:val="00E645E2"/>
    <w:rsid w:val="00E65BF6"/>
    <w:rsid w:val="00E66008"/>
    <w:rsid w:val="00E85D2C"/>
    <w:rsid w:val="00E94498"/>
    <w:rsid w:val="00EB0D08"/>
    <w:rsid w:val="00EB12C5"/>
    <w:rsid w:val="00EC0771"/>
    <w:rsid w:val="00EC4BAF"/>
    <w:rsid w:val="00ED664C"/>
    <w:rsid w:val="00EE3468"/>
    <w:rsid w:val="00EF2B97"/>
    <w:rsid w:val="00F0060A"/>
    <w:rsid w:val="00F012CD"/>
    <w:rsid w:val="00F36D43"/>
    <w:rsid w:val="00F70F01"/>
    <w:rsid w:val="00F92928"/>
    <w:rsid w:val="00F963F5"/>
    <w:rsid w:val="00FA0173"/>
    <w:rsid w:val="00FB29EC"/>
    <w:rsid w:val="00FB7197"/>
    <w:rsid w:val="00FC13EE"/>
    <w:rsid w:val="00FC6EBC"/>
    <w:rsid w:val="00FD17DE"/>
    <w:rsid w:val="00FD6143"/>
    <w:rsid w:val="00FE344B"/>
    <w:rsid w:val="77615E15"/>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88C494"/>
  <w15:docId w15:val="{C383E204-68A0-4B9B-9262-778B05A26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6496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1215D"/>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41215D"/>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5A53A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1215D"/>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widowControl w:val="0"/>
      <w:autoSpaceDE w:val="0"/>
      <w:autoSpaceDN w:val="0"/>
      <w:spacing w:after="0" w:line="240" w:lineRule="auto"/>
    </w:pPr>
    <w:rPr>
      <w:rFonts w:ascii="Times New Roman" w:eastAsia="Times New Roman" w:hAnsi="Times New Roman" w:cs="Times New Roman"/>
      <w:lang w:val="en-US"/>
    </w:rPr>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kern w:val="0"/>
      <w:sz w:val="32"/>
      <w:szCs w:val="32"/>
      <w:lang w:val="en-US"/>
      <w14:ligatures w14:val="none"/>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kern w:val="0"/>
      <w:sz w:val="26"/>
      <w:szCs w:val="26"/>
      <w14:ligatures w14:val="none"/>
    </w:rPr>
  </w:style>
  <w:style w:type="character" w:customStyle="1" w:styleId="Heading4Char">
    <w:name w:val="Heading 4 Char"/>
    <w:basedOn w:val="DefaultParagraphFont"/>
    <w:link w:val="Heading4"/>
    <w:uiPriority w:val="9"/>
    <w:qFormat/>
    <w:rPr>
      <w:rFonts w:asciiTheme="majorHAnsi" w:eastAsiaTheme="majorEastAsia" w:hAnsiTheme="majorHAnsi" w:cstheme="majorBidi"/>
      <w:i/>
      <w:iCs/>
      <w:color w:val="2F5496" w:themeColor="accent1" w:themeShade="BF"/>
      <w:kern w:val="0"/>
      <w14:ligatures w14:val="none"/>
    </w:rPr>
  </w:style>
  <w:style w:type="paragraph" w:customStyle="1" w:styleId="Bibliography1">
    <w:name w:val="Bibliography1"/>
    <w:basedOn w:val="Normal"/>
    <w:next w:val="Normal"/>
    <w:uiPriority w:val="37"/>
    <w:unhideWhenUsed/>
    <w:qFormat/>
  </w:style>
  <w:style w:type="paragraph" w:styleId="ListParagraph">
    <w:name w:val="List Paragraph"/>
    <w:basedOn w:val="Normal"/>
    <w:link w:val="ListParagraphChar"/>
    <w:uiPriority w:val="34"/>
    <w:qFormat/>
    <w:pPr>
      <w:ind w:left="720"/>
      <w:contextualSpacing/>
    </w:pPr>
  </w:style>
  <w:style w:type="character" w:customStyle="1" w:styleId="ctatext">
    <w:name w:val="ctatext"/>
    <w:basedOn w:val="DefaultParagraphFont"/>
    <w:qFormat/>
  </w:style>
  <w:style w:type="character" w:customStyle="1" w:styleId="posttitle">
    <w:name w:val="posttitle"/>
    <w:basedOn w:val="DefaultParagraphFont"/>
    <w:qFormat/>
  </w:style>
  <w:style w:type="character" w:customStyle="1" w:styleId="BodyTextChar">
    <w:name w:val="Body Text Char"/>
    <w:basedOn w:val="DefaultParagraphFont"/>
    <w:link w:val="BodyText"/>
    <w:qFormat/>
    <w:rPr>
      <w:rFonts w:ascii="Times New Roman" w:eastAsia="Times New Roman" w:hAnsi="Times New Roman" w:cs="Times New Roman"/>
      <w:kern w:val="0"/>
      <w:lang w:val="en-US"/>
      <w14:ligatures w14:val="none"/>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q-relative">
    <w:name w:val="q-relative"/>
    <w:basedOn w:val="Normal"/>
    <w:qFormat/>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ccordion-tabbedtab-mobile">
    <w:name w:val="accordion-tabbed__tab-mobile"/>
    <w:basedOn w:val="DefaultParagraphFont"/>
    <w:qFormat/>
  </w:style>
  <w:style w:type="character" w:customStyle="1" w:styleId="comma-separator">
    <w:name w:val="comma-separator"/>
    <w:basedOn w:val="DefaultParagraphFont"/>
    <w:qFormat/>
  </w:style>
  <w:style w:type="character" w:customStyle="1" w:styleId="HeaderChar">
    <w:name w:val="Header Char"/>
    <w:basedOn w:val="DefaultParagraphFont"/>
    <w:link w:val="Header"/>
    <w:uiPriority w:val="99"/>
    <w:qFormat/>
    <w:rPr>
      <w:kern w:val="0"/>
      <w14:ligatures w14:val="none"/>
    </w:rPr>
  </w:style>
  <w:style w:type="character" w:customStyle="1" w:styleId="FooterChar">
    <w:name w:val="Footer Char"/>
    <w:basedOn w:val="DefaultParagraphFont"/>
    <w:link w:val="Footer"/>
    <w:uiPriority w:val="99"/>
    <w:qFormat/>
    <w:rPr>
      <w:kern w:val="0"/>
      <w14:ligatures w14:val="none"/>
    </w:rPr>
  </w:style>
  <w:style w:type="character" w:customStyle="1" w:styleId="a">
    <w:name w:val="_"/>
    <w:basedOn w:val="DefaultParagraphFont"/>
    <w:qFormat/>
  </w:style>
  <w:style w:type="paragraph" w:customStyle="1" w:styleId="TableParagraph">
    <w:name w:val="Table Paragraph"/>
    <w:basedOn w:val="Normal"/>
    <w:uiPriority w:val="1"/>
    <w:qFormat/>
    <w:pPr>
      <w:widowControl w:val="0"/>
      <w:autoSpaceDE w:val="0"/>
      <w:autoSpaceDN w:val="0"/>
      <w:spacing w:after="0" w:line="256" w:lineRule="exact"/>
      <w:ind w:left="107"/>
    </w:pPr>
    <w:rPr>
      <w:rFonts w:ascii="Times New Roman" w:eastAsia="Times New Roman" w:hAnsi="Times New Roman" w:cs="Times New Roman"/>
      <w:lang w:val="en-US"/>
    </w:rPr>
  </w:style>
  <w:style w:type="paragraph" w:customStyle="1" w:styleId="pw-post-body-paragraph">
    <w:name w:val="pw-post-body-paragraph"/>
    <w:basedOn w:val="Normal"/>
    <w:qFormat/>
    <w:pPr>
      <w:spacing w:before="100" w:beforeAutospacing="1" w:after="100" w:afterAutospacing="1" w:line="240" w:lineRule="auto"/>
    </w:pPr>
    <w:rPr>
      <w:rFonts w:ascii="Times New Roman" w:eastAsia="Times New Roman" w:hAnsi="Times New Roman" w:cs="Times New Roman"/>
      <w:sz w:val="24"/>
      <w:szCs w:val="24"/>
      <w:lang w:eastAsia="en-IN"/>
    </w:rPr>
  </w:style>
  <w:style w:type="table" w:customStyle="1" w:styleId="GridTable4-Accent11">
    <w:name w:val="Grid Table 4 - Accent 11"/>
    <w:basedOn w:val="TableNormal"/>
    <w:uiPriority w:val="49"/>
    <w:qFormat/>
    <w:tblP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text-info">
    <w:name w:val="text-info"/>
    <w:basedOn w:val="DefaultParagraphFont"/>
    <w:qFormat/>
  </w:style>
  <w:style w:type="character" w:customStyle="1" w:styleId="numcol">
    <w:name w:val="num_col"/>
    <w:basedOn w:val="DefaultParagraphFont"/>
    <w:qFormat/>
  </w:style>
  <w:style w:type="character" w:customStyle="1" w:styleId="jpfdse">
    <w:name w:val="jpfdse"/>
    <w:basedOn w:val="DefaultParagraphFont"/>
    <w:qFormat/>
  </w:style>
  <w:style w:type="table" w:customStyle="1" w:styleId="GridTable3-Accent41">
    <w:name w:val="Grid Table 3 - Accent 41"/>
    <w:basedOn w:val="TableNormal"/>
    <w:uiPriority w:val="48"/>
    <w:qFormat/>
    <w:tblPr>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4-Accent41">
    <w:name w:val="Grid Table 4 - Accent 41"/>
    <w:basedOn w:val="TableNormal"/>
    <w:uiPriority w:val="49"/>
    <w:qFormat/>
    <w:tblPr>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Default">
    <w:name w:val="Default"/>
    <w:qFormat/>
    <w:pPr>
      <w:autoSpaceDE w:val="0"/>
      <w:autoSpaceDN w:val="0"/>
      <w:adjustRightInd w:val="0"/>
    </w:pPr>
    <w:rPr>
      <w:rFonts w:ascii="Georgia" w:eastAsia="Calibri" w:hAnsi="Georgia" w:cs="Georgia"/>
      <w:color w:val="000000"/>
      <w:sz w:val="24"/>
      <w:szCs w:val="24"/>
      <w:lang w:eastAsia="en-US"/>
    </w:rPr>
  </w:style>
  <w:style w:type="paragraph" w:customStyle="1" w:styleId="uvucen">
    <w:name w:val="uvucen"/>
    <w:basedOn w:val="Normal"/>
    <w:qFormat/>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pc">
    <w:name w:val="pc"/>
    <w:basedOn w:val="DefaultParagraphFont"/>
    <w:qFormat/>
  </w:style>
  <w:style w:type="paragraph" w:customStyle="1" w:styleId="nova-legacy-e-listitem">
    <w:name w:val="nova-legacy-e-list__item"/>
    <w:basedOn w:val="Normal"/>
    <w:qFormat/>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trt0xe">
    <w:name w:val="trt0xe"/>
    <w:basedOn w:val="Normal"/>
    <w:qFormat/>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NoSpacing">
    <w:name w:val="No Spacing"/>
    <w:uiPriority w:val="1"/>
    <w:qFormat/>
    <w:rPr>
      <w:sz w:val="22"/>
      <w:szCs w:val="22"/>
      <w:lang w:eastAsia="en-US"/>
    </w:rPr>
  </w:style>
  <w:style w:type="paragraph" w:customStyle="1" w:styleId="Author">
    <w:name w:val="Author"/>
    <w:qFormat/>
    <w:pPr>
      <w:spacing w:before="360" w:after="40"/>
      <w:jc w:val="center"/>
    </w:pPr>
    <w:rPr>
      <w:rFonts w:ascii="Times New Roman" w:eastAsia="SimSun" w:hAnsi="Times New Roman" w:cs="Times New Roman"/>
      <w:sz w:val="22"/>
      <w:szCs w:val="22"/>
      <w:lang w:val="en-US" w:eastAsia="en-US"/>
    </w:rPr>
  </w:style>
  <w:style w:type="character" w:customStyle="1" w:styleId="Heading3Char">
    <w:name w:val="Heading 3 Char"/>
    <w:basedOn w:val="DefaultParagraphFont"/>
    <w:link w:val="Heading3"/>
    <w:uiPriority w:val="9"/>
    <w:qFormat/>
    <w:rPr>
      <w:rFonts w:asciiTheme="majorHAnsi" w:eastAsiaTheme="majorEastAsia" w:hAnsiTheme="majorHAnsi" w:cstheme="majorBidi"/>
      <w:color w:val="1F3864" w:themeColor="accent1" w:themeShade="80"/>
      <w:kern w:val="0"/>
      <w:sz w:val="24"/>
      <w:szCs w:val="24"/>
      <w14:ligatures w14:val="none"/>
    </w:rPr>
  </w:style>
  <w:style w:type="character" w:styleId="UnresolvedMention">
    <w:name w:val="Unresolved Mention"/>
    <w:basedOn w:val="DefaultParagraphFont"/>
    <w:uiPriority w:val="99"/>
    <w:semiHidden/>
    <w:unhideWhenUsed/>
    <w:rsid w:val="00245175"/>
    <w:rPr>
      <w:color w:val="605E5C"/>
      <w:shd w:val="clear" w:color="auto" w:fill="E1DFDD"/>
    </w:rPr>
  </w:style>
  <w:style w:type="character" w:customStyle="1" w:styleId="fontstyle01">
    <w:name w:val="fontstyle01"/>
    <w:basedOn w:val="DefaultParagraphFont"/>
    <w:rsid w:val="00245175"/>
    <w:rPr>
      <w:rFonts w:ascii="Cambria" w:hAnsi="Cambria" w:hint="default"/>
      <w:b/>
      <w:bCs/>
      <w:color w:val="1F497D"/>
      <w:sz w:val="18"/>
      <w:szCs w:val="18"/>
    </w:rPr>
  </w:style>
  <w:style w:type="table" w:customStyle="1" w:styleId="TableGrid0">
    <w:name w:val="TableGrid"/>
    <w:rsid w:val="00245175"/>
    <w:rPr>
      <w:rFonts w:eastAsiaTheme="minorEastAsia"/>
      <w:kern w:val="2"/>
      <w:sz w:val="24"/>
      <w:szCs w:val="24"/>
      <w14:ligatures w14:val="standardContextual"/>
    </w:rPr>
    <w:tblPr>
      <w:tblCellMar>
        <w:top w:w="0" w:type="dxa"/>
        <w:left w:w="0" w:type="dxa"/>
        <w:bottom w:w="0" w:type="dxa"/>
        <w:right w:w="0" w:type="dxa"/>
      </w:tblCellMar>
    </w:tblPr>
  </w:style>
  <w:style w:type="table" w:customStyle="1" w:styleId="TableGridLight1">
    <w:name w:val="Table Grid Light1"/>
    <w:basedOn w:val="TableNormal"/>
    <w:uiPriority w:val="40"/>
    <w:rsid w:val="004112FA"/>
    <w:rPr>
      <w:rFonts w:eastAsiaTheme="minorEastAsia"/>
      <w:kern w:val="2"/>
      <w:sz w:val="22"/>
      <w:szCs w:val="22"/>
      <w:lang w:eastAsia="zh-CN"/>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mphasis">
    <w:name w:val="Emphasis"/>
    <w:basedOn w:val="DefaultParagraphFont"/>
    <w:uiPriority w:val="20"/>
    <w:qFormat/>
    <w:rsid w:val="004112FA"/>
    <w:rPr>
      <w:i/>
      <w:iCs/>
    </w:rPr>
  </w:style>
  <w:style w:type="character" w:customStyle="1" w:styleId="Heading5Char">
    <w:name w:val="Heading 5 Char"/>
    <w:basedOn w:val="DefaultParagraphFont"/>
    <w:link w:val="Heading5"/>
    <w:uiPriority w:val="9"/>
    <w:semiHidden/>
    <w:rsid w:val="00D64968"/>
    <w:rPr>
      <w:rFonts w:asciiTheme="majorHAnsi" w:eastAsiaTheme="majorEastAsia" w:hAnsiTheme="majorHAnsi" w:cstheme="majorBidi"/>
      <w:color w:val="2F5496" w:themeColor="accent1" w:themeShade="BF"/>
      <w:sz w:val="22"/>
      <w:szCs w:val="22"/>
      <w:lang w:eastAsia="en-US"/>
    </w:rPr>
  </w:style>
  <w:style w:type="character" w:customStyle="1" w:styleId="ListParagraphChar">
    <w:name w:val="List Paragraph Char"/>
    <w:basedOn w:val="DefaultParagraphFont"/>
    <w:link w:val="ListParagraph"/>
    <w:uiPriority w:val="34"/>
    <w:qFormat/>
    <w:locked/>
    <w:rsid w:val="00FD17DE"/>
    <w:rPr>
      <w:sz w:val="22"/>
      <w:szCs w:val="22"/>
      <w:lang w:eastAsia="en-US"/>
    </w:rPr>
  </w:style>
  <w:style w:type="character" w:customStyle="1" w:styleId="Heading8Char">
    <w:name w:val="Heading 8 Char"/>
    <w:basedOn w:val="DefaultParagraphFont"/>
    <w:link w:val="Heading8"/>
    <w:uiPriority w:val="9"/>
    <w:semiHidden/>
    <w:qFormat/>
    <w:rsid w:val="005A53AC"/>
    <w:rPr>
      <w:rFonts w:asciiTheme="majorHAnsi" w:eastAsiaTheme="majorEastAsia" w:hAnsiTheme="majorHAnsi" w:cstheme="majorBidi"/>
      <w:color w:val="272727" w:themeColor="text1" w:themeTint="D8"/>
      <w:sz w:val="21"/>
      <w:szCs w:val="21"/>
      <w:lang w:eastAsia="en-US"/>
    </w:rPr>
  </w:style>
  <w:style w:type="table" w:styleId="LightGrid-Accent1">
    <w:name w:val="Light Grid Accent 1"/>
    <w:basedOn w:val="TableNormal"/>
    <w:uiPriority w:val="62"/>
    <w:rsid w:val="00C83917"/>
    <w:rPr>
      <w:rFonts w:ascii="Calibri" w:eastAsia="Calibri" w:hAnsi="Calibri" w:cs="SimSun"/>
      <w:sz w:val="22"/>
      <w:szCs w:val="22"/>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SimSun" w:hAnsi="Cambria" w:cs="SimSu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SimSun" w:hAnsi="Cambria" w:cs="SimSu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SimSun" w:hAnsi="Cambria" w:cs="SimSun"/>
        <w:b/>
        <w:bCs/>
      </w:rPr>
    </w:tblStylePr>
    <w:tblStylePr w:type="lastCol">
      <w:rPr>
        <w:rFonts w:ascii="Cambria" w:eastAsia="SimSun" w:hAnsi="Cambria" w:cs="SimSu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C83917"/>
    <w:rPr>
      <w:rFonts w:ascii="Calibri" w:eastAsia="Calibri" w:hAnsi="Calibri" w:cs="SimSun"/>
      <w:sz w:val="22"/>
      <w:szCs w:val="22"/>
      <w:lang w:val="en-US" w:eastAsia="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SimSun" w:hAnsi="Cambria" w:cs="SimSu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SimSun" w:hAnsi="Cambria" w:cs="SimSu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SimSun" w:hAnsi="Cambria" w:cs="SimSun"/>
        <w:b/>
        <w:bCs/>
      </w:rPr>
    </w:tblStylePr>
    <w:tblStylePr w:type="lastCol">
      <w:rPr>
        <w:rFonts w:ascii="Cambria" w:eastAsia="SimSun" w:hAnsi="Cambria" w:cs="SimSu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C83917"/>
    <w:rPr>
      <w:rFonts w:ascii="Calibri" w:eastAsia="Calibri" w:hAnsi="Calibri" w:cs="SimSun"/>
      <w:sz w:val="22"/>
      <w:szCs w:val="22"/>
      <w:lang w:val="en-US"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SimSun" w:hAnsi="Cambria" w:cs="SimSu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SimSun" w:hAnsi="Cambria" w:cs="SimSu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SimSun" w:hAnsi="Cambria" w:cs="SimSun"/>
        <w:b/>
        <w:bCs/>
      </w:rPr>
    </w:tblStylePr>
    <w:tblStylePr w:type="lastCol">
      <w:rPr>
        <w:rFonts w:ascii="Cambria" w:eastAsia="SimSun" w:hAnsi="Cambria" w:cs="SimSu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
    <w:name w:val="Light Grid"/>
    <w:basedOn w:val="TableNormal"/>
    <w:uiPriority w:val="62"/>
    <w:rsid w:val="00C83917"/>
    <w:rPr>
      <w:rFonts w:ascii="Calibri" w:eastAsia="Calibri" w:hAnsi="Calibri" w:cs="SimSun"/>
      <w:sz w:val="22"/>
      <w:szCs w:val="22"/>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SimSu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SimSu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SimSun"/>
        <w:b/>
        <w:bCs/>
      </w:rPr>
    </w:tblStylePr>
    <w:tblStylePr w:type="lastCol">
      <w:rPr>
        <w:rFonts w:ascii="Cambria" w:eastAsia="SimSun" w:hAnsi="Cambria" w:cs="SimSu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Bibliography">
    <w:name w:val="Bibliography"/>
    <w:basedOn w:val="Normal"/>
    <w:next w:val="Normal"/>
    <w:uiPriority w:val="37"/>
    <w:unhideWhenUsed/>
    <w:rsid w:val="000F1094"/>
    <w:pPr>
      <w:spacing w:after="0" w:line="276" w:lineRule="auto"/>
    </w:pPr>
    <w:rPr>
      <w:rFonts w:ascii="Arial" w:eastAsia="Arial" w:hAnsi="Arial" w:cs="Arial"/>
      <w:lang w:val="en" w:eastAsia="en-IN"/>
    </w:rPr>
  </w:style>
  <w:style w:type="paragraph" w:styleId="ListNumber">
    <w:name w:val="List Number"/>
    <w:basedOn w:val="Normal"/>
    <w:uiPriority w:val="99"/>
    <w:unhideWhenUsed/>
    <w:rsid w:val="00AE68D0"/>
    <w:pPr>
      <w:spacing w:after="200" w:line="276" w:lineRule="auto"/>
      <w:contextualSpacing/>
    </w:pPr>
    <w:rPr>
      <w:rFonts w:ascii="Times New Roman" w:eastAsiaTheme="minorEastAsia" w:hAnsi="Times New Roman"/>
      <w:sz w:val="24"/>
      <w:lang w:val="en-US"/>
    </w:rPr>
  </w:style>
  <w:style w:type="character" w:customStyle="1" w:styleId="Heading6Char">
    <w:name w:val="Heading 6 Char"/>
    <w:basedOn w:val="DefaultParagraphFont"/>
    <w:link w:val="Heading6"/>
    <w:uiPriority w:val="9"/>
    <w:semiHidden/>
    <w:rsid w:val="0041215D"/>
    <w:rPr>
      <w:rFonts w:eastAsiaTheme="majorEastAsia" w:cstheme="majorBidi"/>
      <w:i/>
      <w:iCs/>
      <w:color w:val="595959" w:themeColor="text1" w:themeTint="A6"/>
      <w:kern w:val="2"/>
      <w:sz w:val="24"/>
      <w:szCs w:val="24"/>
      <w:lang w:eastAsia="en-US"/>
      <w14:ligatures w14:val="standardContextual"/>
    </w:rPr>
  </w:style>
  <w:style w:type="character" w:customStyle="1" w:styleId="Heading7Char">
    <w:name w:val="Heading 7 Char"/>
    <w:basedOn w:val="DefaultParagraphFont"/>
    <w:link w:val="Heading7"/>
    <w:uiPriority w:val="9"/>
    <w:semiHidden/>
    <w:rsid w:val="0041215D"/>
    <w:rPr>
      <w:rFonts w:eastAsiaTheme="majorEastAsia" w:cstheme="majorBidi"/>
      <w:color w:val="595959" w:themeColor="text1" w:themeTint="A6"/>
      <w:kern w:val="2"/>
      <w:sz w:val="24"/>
      <w:szCs w:val="24"/>
      <w:lang w:eastAsia="en-US"/>
      <w14:ligatures w14:val="standardContextual"/>
    </w:rPr>
  </w:style>
  <w:style w:type="character" w:customStyle="1" w:styleId="Heading9Char">
    <w:name w:val="Heading 9 Char"/>
    <w:basedOn w:val="DefaultParagraphFont"/>
    <w:link w:val="Heading9"/>
    <w:uiPriority w:val="9"/>
    <w:semiHidden/>
    <w:rsid w:val="0041215D"/>
    <w:rPr>
      <w:rFonts w:eastAsiaTheme="majorEastAsia" w:cstheme="majorBidi"/>
      <w:color w:val="272727" w:themeColor="text1" w:themeTint="D8"/>
      <w:kern w:val="2"/>
      <w:sz w:val="24"/>
      <w:szCs w:val="24"/>
      <w:lang w:eastAsia="en-US"/>
      <w14:ligatures w14:val="standardContextual"/>
    </w:rPr>
  </w:style>
  <w:style w:type="paragraph" w:styleId="Title">
    <w:name w:val="Title"/>
    <w:basedOn w:val="Normal"/>
    <w:next w:val="Normal"/>
    <w:link w:val="TitleChar"/>
    <w:uiPriority w:val="10"/>
    <w:qFormat/>
    <w:rsid w:val="0041215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1215D"/>
    <w:rPr>
      <w:rFonts w:asciiTheme="majorHAnsi" w:eastAsiaTheme="majorEastAsia" w:hAnsiTheme="majorHAnsi" w:cstheme="majorBidi"/>
      <w:spacing w:val="-10"/>
      <w:kern w:val="28"/>
      <w:sz w:val="56"/>
      <w:szCs w:val="56"/>
      <w:lang w:eastAsia="en-US"/>
      <w14:ligatures w14:val="standardContextual"/>
    </w:rPr>
  </w:style>
  <w:style w:type="paragraph" w:styleId="Subtitle">
    <w:name w:val="Subtitle"/>
    <w:basedOn w:val="Normal"/>
    <w:next w:val="Normal"/>
    <w:link w:val="SubtitleChar"/>
    <w:uiPriority w:val="11"/>
    <w:qFormat/>
    <w:rsid w:val="0041215D"/>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1215D"/>
    <w:rPr>
      <w:rFonts w:eastAsiaTheme="majorEastAsia" w:cstheme="majorBidi"/>
      <w:color w:val="595959" w:themeColor="text1" w:themeTint="A6"/>
      <w:spacing w:val="15"/>
      <w:kern w:val="2"/>
      <w:sz w:val="28"/>
      <w:szCs w:val="28"/>
      <w:lang w:eastAsia="en-US"/>
      <w14:ligatures w14:val="standardContextual"/>
    </w:rPr>
  </w:style>
  <w:style w:type="paragraph" w:styleId="Quote">
    <w:name w:val="Quote"/>
    <w:basedOn w:val="Normal"/>
    <w:next w:val="Normal"/>
    <w:link w:val="QuoteChar"/>
    <w:uiPriority w:val="29"/>
    <w:qFormat/>
    <w:rsid w:val="0041215D"/>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41215D"/>
    <w:rPr>
      <w:i/>
      <w:iCs/>
      <w:color w:val="404040" w:themeColor="text1" w:themeTint="BF"/>
      <w:kern w:val="2"/>
      <w:sz w:val="24"/>
      <w:szCs w:val="24"/>
      <w:lang w:eastAsia="en-US"/>
      <w14:ligatures w14:val="standardContextual"/>
    </w:rPr>
  </w:style>
  <w:style w:type="character" w:styleId="IntenseEmphasis">
    <w:name w:val="Intense Emphasis"/>
    <w:basedOn w:val="DefaultParagraphFont"/>
    <w:uiPriority w:val="21"/>
    <w:qFormat/>
    <w:rsid w:val="0041215D"/>
    <w:rPr>
      <w:i/>
      <w:iCs/>
      <w:color w:val="2F5496" w:themeColor="accent1" w:themeShade="BF"/>
    </w:rPr>
  </w:style>
  <w:style w:type="paragraph" w:styleId="IntenseQuote">
    <w:name w:val="Intense Quote"/>
    <w:basedOn w:val="Normal"/>
    <w:next w:val="Normal"/>
    <w:link w:val="IntenseQuoteChar"/>
    <w:uiPriority w:val="30"/>
    <w:qFormat/>
    <w:rsid w:val="0041215D"/>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41215D"/>
    <w:rPr>
      <w:i/>
      <w:iCs/>
      <w:color w:val="2F5496" w:themeColor="accent1" w:themeShade="BF"/>
      <w:kern w:val="2"/>
      <w:sz w:val="24"/>
      <w:szCs w:val="24"/>
      <w:lang w:eastAsia="en-US"/>
      <w14:ligatures w14:val="standardContextual"/>
    </w:rPr>
  </w:style>
  <w:style w:type="character" w:styleId="IntenseReference">
    <w:name w:val="Intense Reference"/>
    <w:basedOn w:val="DefaultParagraphFont"/>
    <w:uiPriority w:val="32"/>
    <w:qFormat/>
    <w:rsid w:val="0041215D"/>
    <w:rPr>
      <w:b/>
      <w:bCs/>
      <w:smallCaps/>
      <w:color w:val="2F5496" w:themeColor="accent1" w:themeShade="BF"/>
      <w:spacing w:val="5"/>
    </w:rPr>
  </w:style>
  <w:style w:type="paragraph" w:customStyle="1" w:styleId="FirstParagraph">
    <w:name w:val="First Paragraph"/>
    <w:basedOn w:val="BodyText"/>
    <w:next w:val="BodyText"/>
    <w:qFormat/>
    <w:rsid w:val="0041215D"/>
    <w:pPr>
      <w:widowControl/>
      <w:autoSpaceDE/>
      <w:autoSpaceDN/>
      <w:spacing w:before="180" w:after="180"/>
    </w:pPr>
    <w:rPr>
      <w:rFonts w:eastAsiaTheme="minorHAnsi" w:cstheme="minorBidi"/>
      <w:sz w:val="24"/>
      <w:szCs w:val="24"/>
    </w:rPr>
  </w:style>
  <w:style w:type="paragraph" w:customStyle="1" w:styleId="Compact">
    <w:name w:val="Compact"/>
    <w:basedOn w:val="BodyText"/>
    <w:qFormat/>
    <w:rsid w:val="0041215D"/>
    <w:pPr>
      <w:widowControl/>
      <w:autoSpaceDE/>
      <w:autoSpaceDN/>
      <w:spacing w:before="36" w:after="36"/>
    </w:pPr>
    <w:rPr>
      <w:rFonts w:eastAsiaTheme="minorHAnsi" w:cstheme="minorBidi"/>
      <w:sz w:val="24"/>
      <w:szCs w:val="24"/>
    </w:rPr>
  </w:style>
  <w:style w:type="table" w:customStyle="1" w:styleId="Table">
    <w:name w:val="Table"/>
    <w:semiHidden/>
    <w:unhideWhenUsed/>
    <w:qFormat/>
    <w:rsid w:val="0041215D"/>
    <w:pPr>
      <w:spacing w:after="200"/>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typography-modulelvnit">
    <w:name w:val="typography-module__lvnit"/>
    <w:basedOn w:val="DefaultParagraphFont"/>
    <w:rsid w:val="004121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311557">
      <w:bodyDiv w:val="1"/>
      <w:marLeft w:val="0"/>
      <w:marRight w:val="0"/>
      <w:marTop w:val="0"/>
      <w:marBottom w:val="0"/>
      <w:divBdr>
        <w:top w:val="none" w:sz="0" w:space="0" w:color="auto"/>
        <w:left w:val="none" w:sz="0" w:space="0" w:color="auto"/>
        <w:bottom w:val="none" w:sz="0" w:space="0" w:color="auto"/>
        <w:right w:val="none" w:sz="0" w:space="0" w:color="auto"/>
      </w:divBdr>
    </w:div>
    <w:div w:id="18943411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microsoft.com/office/2007/relationships/hdphoto" Target="media/hdphoto1.wdp"/><Relationship Id="rId26" Type="http://schemas.microsoft.com/office/2007/relationships/hdphoto" Target="media/hdphoto5.wdp"/><Relationship Id="rId39" Type="http://schemas.openxmlformats.org/officeDocument/2006/relationships/hyperlink" Target="https://jneonatalsurg.com/index.php/jns/article/view/9461" TargetMode="External"/><Relationship Id="rId21" Type="http://schemas.openxmlformats.org/officeDocument/2006/relationships/image" Target="media/image3.png"/><Relationship Id="rId34" Type="http://schemas.openxmlformats.org/officeDocument/2006/relationships/hyperlink" Target="https://doi.org/10.54216/JISIoT.160207"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0" Type="http://schemas.microsoft.com/office/2007/relationships/hdphoto" Target="media/hdphoto2.wdp"/><Relationship Id="rId29" Type="http://schemas.openxmlformats.org/officeDocument/2006/relationships/hyperlink" Target="https://doi.org/10.1016/j.matpr.2021.07.368"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ustubh.sontakke@mitwpu.edu.in" TargetMode="External"/><Relationship Id="rId24" Type="http://schemas.microsoft.com/office/2007/relationships/hdphoto" Target="media/hdphoto4.wdp"/><Relationship Id="rId32" Type="http://schemas.openxmlformats.org/officeDocument/2006/relationships/hyperlink" Target="https://doi.org/10.64252/stgqg620" TargetMode="External"/><Relationship Id="rId37" Type="http://schemas.openxmlformats.org/officeDocument/2006/relationships/hyperlink" Target="https://jneonatalsurg.com/index.php/jns/article/view/9460"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4.png"/><Relationship Id="rId28" Type="http://schemas.microsoft.com/office/2007/relationships/hdphoto" Target="media/hdphoto6.wdp"/><Relationship Id="rId36" Type="http://schemas.openxmlformats.org/officeDocument/2006/relationships/hyperlink" Target="https://doi.org/10.52783/eel.v14i1.3001" TargetMode="External"/><Relationship Id="rId10" Type="http://schemas.openxmlformats.org/officeDocument/2006/relationships/hyperlink" Target="mailto:ashwini.bagkar@mitwpu.edu.in" TargetMode="External"/><Relationship Id="rId19" Type="http://schemas.openxmlformats.org/officeDocument/2006/relationships/image" Target="media/image2.png"/><Relationship Id="rId31" Type="http://schemas.openxmlformats.org/officeDocument/2006/relationships/hyperlink" Target="https://doi.org/10.64252/99s3vt27" TargetMode="External"/><Relationship Id="rId4" Type="http://schemas.openxmlformats.org/officeDocument/2006/relationships/settings" Target="settings.xml"/><Relationship Id="rId9" Type="http://schemas.openxmlformats.org/officeDocument/2006/relationships/hyperlink" Target="mailto:yogitadv7@gmail.com" TargetMode="External"/><Relationship Id="rId14" Type="http://schemas.openxmlformats.org/officeDocument/2006/relationships/footer" Target="footer1.xml"/><Relationship Id="rId22" Type="http://schemas.microsoft.com/office/2007/relationships/hdphoto" Target="media/hdphoto3.wdp"/><Relationship Id="rId27" Type="http://schemas.openxmlformats.org/officeDocument/2006/relationships/image" Target="media/image6.png"/><Relationship Id="rId30" Type="http://schemas.openxmlformats.org/officeDocument/2006/relationships/hyperlink" Target="https://www.taylorfrancis.com/chapters/edit/10.1201/9781003540199-47/" TargetMode="External"/><Relationship Id="rId35" Type="http://schemas.openxmlformats.org/officeDocument/2006/relationships/hyperlink" Target="https://jisem-journal.com/index.php/journal/article/view/8990" TargetMode="External"/><Relationship Id="rId8" Type="http://schemas.openxmlformats.org/officeDocument/2006/relationships/hyperlink" Target="mailto:dr.srdaida@gmail.com" TargetMode="External"/><Relationship Id="rId3" Type="http://schemas.openxmlformats.org/officeDocument/2006/relationships/styles" Target="styles.xml"/><Relationship Id="rId12" Type="http://schemas.openxmlformats.org/officeDocument/2006/relationships/hyperlink" Target="mailto:ashutosh4088@gmail.com" TargetMode="External"/><Relationship Id="rId17" Type="http://schemas.openxmlformats.org/officeDocument/2006/relationships/image" Target="media/image1.png"/><Relationship Id="rId25" Type="http://schemas.openxmlformats.org/officeDocument/2006/relationships/image" Target="media/image5.png"/><Relationship Id="rId33" Type="http://schemas.openxmlformats.org/officeDocument/2006/relationships/hyperlink" Target="https://doi.org/10.52783/eel.v15i2.2955" TargetMode="External"/><Relationship Id="rId38" Type="http://schemas.openxmlformats.org/officeDocument/2006/relationships/hyperlink" Target="https://healthinformaticsjournal.com/index.php/IJMI/article/view/2813"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s://acr-journal.com/" TargetMode="External"/><Relationship Id="rId2" Type="http://schemas.openxmlformats.org/officeDocument/2006/relationships/hyperlink" Target="https://acr-journal.com/" TargetMode="External"/><Relationship Id="rId1" Type="http://schemas.openxmlformats.org/officeDocument/2006/relationships/hyperlink" Target="https://acr-journal.com/" TargetMode="External"/><Relationship Id="rId4" Type="http://schemas.openxmlformats.org/officeDocument/2006/relationships/hyperlink" Target="https://acr-journ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Wil14</b:Tag>
    <b:SourceType>JournalArticle</b:SourceType>
    <b:Guid>{7D9E1C99-9514-439B-8B19-91BC9E03E9B7}</b:Guid>
    <b:Author>
      <b:Author>
        <b:NameList>
          <b:Person>
            <b:Last>Wilson</b:Last>
            <b:First>Karen</b:First>
            <b:Middle>E</b:Middle>
          </b:Person>
        </b:NameList>
      </b:Author>
    </b:Author>
    <b:Title>New Investment Approaches for Addressing Social and Economic Challenges</b:Title>
    <b:JournalName>OECD Science, Technology and Industry Policy</b:JournalName>
    <b:Year>2014</b:Year>
    <b:Pages>1-41</b:Pages>
    <b:Volume>15</b:Volume>
    <b:Issue>(1)</b:Issue>
    <b:URL>http://dx.doi.org/10.1787/5jz2bz8g00jj-en</b:URL>
    <b:RefOrder>1</b:RefOrder>
  </b:Source>
  <b:Source>
    <b:Tag>Vir13</b:Tag>
    <b:SourceType>JournalArticle</b:SourceType>
    <b:Guid>{C0D56592-D3FB-45DB-83D3-A6B3889B093B}</b:Guid>
    <b:Author>
      <b:Author>
        <b:NameList>
          <b:Person>
            <b:Last>Virlics</b:Last>
            <b:First>Agnes</b:First>
          </b:Person>
        </b:NameList>
      </b:Author>
    </b:Author>
    <b:Title>Investment Decision Making and Risk</b:Title>
    <b:JournalName>Procedia Economics and Finance</b:JournalName>
    <b:Year>2013</b:Year>
    <b:Pages>169-177</b:Pages>
    <b:Volume>6</b:Volume>
    <b:Issue>(1)</b:Issue>
    <b:DOI>10.1016/S2212-5671(13)00129-9</b:DOI>
    <b:RefOrder>2</b:RefOrder>
  </b:Source>
  <b:Source>
    <b:Tag>Ady18</b:Tag>
    <b:SourceType>JournalArticle</b:SourceType>
    <b:Guid>{33A6BC34-D1E5-470B-B29B-0E9371F20CD4}</b:Guid>
    <b:Author>
      <b:Author>
        <b:NameList>
          <b:Person>
            <b:Last>Ady</b:Last>
            <b:First>Utami</b:First>
          </b:Person>
        </b:NameList>
      </b:Author>
    </b:Author>
    <b:Title>The Cognitive and Psychological Bias in Investment Decision-Making Behavior: (Evidence From Indonesian Investor’s Behavior)</b:Title>
    <b:Year>2018</b:Year>
    <b:JournalName>Journal of Economics and Behavioral Studies</b:JournalName>
    <b:Pages>86-100</b:Pages>
    <b:Volume>10</b:Volume>
    <b:Issue>(1)</b:Issue>
    <b:DOI>10.22610/jebs.v10i1.2092</b:DOI>
    <b:RefOrder>3</b:RefOrder>
  </b:Source>
  <b:Source>
    <b:Tag>Nik23</b:Tag>
    <b:SourceType>JournalArticle</b:SourceType>
    <b:Guid>{A93D8935-3504-44C3-8945-294686AA783B}</b:Guid>
    <b:Author>
      <b:Author>
        <b:NameList>
          <b:Person>
            <b:Last>Nikolaos-Alexandros Perifanis</b:Last>
            <b:First>Fotis</b:First>
            <b:Middle>Kitsios</b:Middle>
          </b:Person>
        </b:NameList>
      </b:Author>
    </b:Author>
    <b:Title>Investigating the Influence of Artificial Intelligence on Business Value in the Digital Era of Strategy: A Literature Review</b:Title>
    <b:JournalName>Information</b:JournalName>
    <b:Year>2023</b:Year>
    <b:Pages>85-100</b:Pages>
    <b:Volume>14</b:Volume>
    <b:Issue>(2)</b:Issue>
    <b:URL> https://doi.org/10.3390/info14020085</b:URL>
    <b:RefOrder>4</b:RefOrder>
  </b:Source>
  <b:Source>
    <b:Tag>Way23</b:Tag>
    <b:SourceType>JournalArticle</b:SourceType>
    <b:Guid>{0C65C80C-84D0-454C-9311-DD9D3A5254E1}</b:Guid>
    <b:Author>
      <b:Author>
        <b:NameList>
          <b:Person>
            <b:Last>Waymond Rodgers</b:Last>
            <b:First>Robert</b:First>
            <b:Middle>Hudson, Fotini Economou</b:Middle>
          </b:Person>
        </b:NameList>
      </b:Author>
    </b:Author>
    <b:Title>Modelling credit and investment decisions based on AI algorithmic behavioral pathways,</b:Title>
    <b:JournalName>Technological Forecasting and Social Change</b:JournalName>
    <b:Year>2023</b:Year>
    <b:Pages>1-13</b:Pages>
    <b:Volume>191</b:Volume>
    <b:Issue>(1)</b:Issue>
    <b:URL>https://doi.org/10.1016/j.techfore.2023.122471</b:URL>
    <b:RefOrder>5</b:RefOrder>
  </b:Source>
  <b:Source>
    <b:Tag>Mhl20</b:Tag>
    <b:SourceType>JournalArticle</b:SourceType>
    <b:Guid>{CCC925A8-1C0A-48A8-BB4F-C997E4272C24}</b:Guid>
    <b:Author>
      <b:Author>
        <b:NameList>
          <b:Person>
            <b:Last>Mhlanga</b:Last>
            <b:First>David</b:First>
          </b:Person>
        </b:NameList>
      </b:Author>
    </b:Author>
    <b:Title>Industry 4.0 in Finance: The Impact of Artificial Intelligence (AI) on Digital Financial Inclusion</b:Title>
    <b:JournalName>International Journal of Financial Studies</b:JournalName>
    <b:Year>2020</b:Year>
    <b:Pages>1-45</b:Pages>
    <b:Volume>8</b:Volume>
    <b:Issue>(3)</b:Issue>
    <b:URL> https://doi.org/10.3390/ijfs8030045</b:URL>
    <b:RefOrder>6</b:RefOrder>
  </b:Source>
  <b:Source>
    <b:Tag>Din15</b:Tag>
    <b:SourceType>JournalArticle</b:SourceType>
    <b:Guid>{6F105298-6967-49B0-8BFC-82D4F114504B}</b:Guid>
    <b:Author>
      <b:Author>
        <b:NameList>
          <b:Person>
            <b:Last>Dinesh Vallabh</b:Last>
            <b:First>Osward</b:First>
            <b:Middle>Mhlanga</b:Middle>
          </b:Person>
        </b:NameList>
      </b:Author>
    </b:Author>
    <b:Title>Influence of demographic factors on business performance in small to medium tourism enterprises (SMTEs)</b:Title>
    <b:JournalName>African Journal of Hospitality, Tourism and Leisure</b:JournalName>
    <b:Year>2015</b:Year>
    <b:Pages>1-9</b:Pages>
    <b:Volume>4</b:Volume>
    <b:Issue>(2)</b:Issue>
    <b:URL>http//: www.ajhtl.com</b:URL>
    <b:RefOrder>7</b:RefOrder>
  </b:Source>
  <b:Source>
    <b:Tag>Ser20</b:Tag>
    <b:SourceType>JournalArticle</b:SourceType>
    <b:Guid>{60E368BC-1E80-48CC-96B9-1BD71925134F}</b:Guid>
    <b:Author>
      <b:Author>
        <b:NameList>
          <b:Person>
            <b:Last>Serge-Lopez Wamba-Taguimdje</b:Last>
            <b:First>Samuel</b:First>
            <b:Middle>Fosso Wamba, Jean Robert Kala Kamdjoug and ChrisEmmanuel Tchatchouang Wanko</b:Middle>
          </b:Person>
        </b:NameList>
      </b:Author>
    </b:Author>
    <b:Title>Influence of Artificial Intelligence (AI) on FirmPerformance: The Business Value of AI-basedTransformation Project</b:Title>
    <b:JournalName>Business Process Management Journal</b:JournalName>
    <b:Year>2020</b:Year>
    <b:Pages>1-34</b:Pages>
    <b:Volume>1</b:Volume>
    <b:Issue>(1)</b:Issue>
    <b:DOI>10.1108/BPMJ-10-2019-0411</b:DOI>
    <b:RefOrder>8</b:RefOrder>
  </b:Source>
  <b:Source>
    <b:Tag>Pat22</b:Tag>
    <b:SourceType>JournalArticle</b:SourceType>
    <b:Guid>{329B883D-62D4-49D0-8AA8-457A710A79EB}</b:Guid>
    <b:Author>
      <b:Author>
        <b:NameList>
          <b:Person>
            <b:Last>Patricia Gual-Montolio</b:Last>
            <b:First>Irene</b:First>
            <b:Middle>Jaén, Verónica Martínez-Borba, Diana Castilla, and Carlos Suso-Ribera</b:Middle>
          </b:Person>
        </b:NameList>
      </b:Author>
    </b:Author>
    <b:Title>Using Artificial Intelligence to Enhance Ongoing Psychological Interventions for Emotional Problems in Real- or Close to Real-Time: A Systematic Review</b:Title>
    <b:JournalName>International Journal of Environmental Research and Public Health</b:JournalName>
    <b:Year>2022</b:Year>
    <b:Pages>7737-7748</b:Pages>
    <b:Volume>19</b:Volume>
    <b:Issue>(13)</b:Issue>
    <b:DOI>10.3390/ijerph19137737</b:DOI>
    <b:RefOrder>9</b:RefOrder>
  </b:Source>
  <b:Source>
    <b:Tag>Vid23</b:Tag>
    <b:SourceType>JournalArticle</b:SourceType>
    <b:Guid>{96628F6B-35B9-4D3F-9602-5DA479843E0D}</b:Guid>
    <b:Title>Overcoming financial planners’ cognitive biases through digitalization: A qualitative study</b:Title>
    <b:Pages>1-4</b:Pages>
    <b:Year>2023</b:Year>
    <b:Author>
      <b:Author>
        <b:NameList>
          <b:Person>
            <b:Last>Vidya S Athota</b:Last>
            <b:First>Vijay</b:First>
            <b:Middle>Pereira, Zahid Hasan, Daicy Vaz, Benjamin Laker, Dimitrios Reppas</b:Middle>
          </b:Person>
        </b:NameList>
      </b:Author>
    </b:Author>
    <b:JournalName>Journal of Business Research</b:JournalName>
    <b:Volume>154</b:Volume>
    <b:Issue>(1)</b:Issue>
    <b:URL>doi.org/10.1016/j.jbusres.2022.08.055</b:URL>
    <b:RefOrder>10</b:RefOrder>
  </b:Source>
  <b:Source>
    <b:Tag>Fre20</b:Tag>
    <b:SourceType>ConferenceProceedings</b:SourceType>
    <b:Guid>{AC7572B9-12CD-4ECB-9192-81F55E0BE66C}</b:Guid>
    <b:Author>
      <b:Author>
        <b:NameList>
          <b:Person>
            <b:Last>Fredrik Ahs</b:Last>
            <b:First>Peter</b:First>
            <b:Middle>Mozelius, Felix Dobslaw</b:Middle>
          </b:Person>
        </b:NameList>
      </b:Author>
    </b:Author>
    <b:Title>Artificial Intelligence Supported Cognitive Behavioral Therapy for Treatment of Speech Anxiety in Virtual Reality Environments</b:Title>
    <b:Year>2020</b:Year>
    <b:Pages>1-10</b:Pages>
    <b:ConferenceName>European Conference on the Impact of Artificial Intelligence and Robotics - ECIAIR 2020</b:ConferenceName>
    <b:City>virtual</b:City>
    <b:Publisher>ECIAIR </b:Publisher>
    <b:RefOrder>11</b:RefOrder>
  </b:Source>
  <b:Source>
    <b:Tag>Gur20</b:Tag>
    <b:SourceType>JournalArticle</b:SourceType>
    <b:Guid>{746EEB1B-B8F7-41DF-B298-CA7B3224155E}</b:Guid>
    <b:Author>
      <b:Author>
        <b:NameList>
          <b:Person>
            <b:Last>Gurinder Singh</b:Last>
            <b:First>Vikas</b:First>
            <b:Middle>Garg, Pooja Tiwari</b:Middle>
          </b:Person>
        </b:NameList>
      </b:Author>
    </b:Author>
    <b:Title>Application of Artificial Intelligenceon Behavioral Finance</b:Title>
    <b:JournalName>Recent Advances in Intelligent Information Systems and Applied Mathematics</b:JournalName>
    <b:Year>2020</b:Year>
    <b:Pages>342-353</b:Pages>
    <b:URL>DOI: 10.1007/978-3-030-34152-7_26</b:URL>
    <b:RefOrder>12</b:RefOrder>
  </b:Source>
  <b:Source>
    <b:Tag>Fed22</b:Tag>
    <b:SourceType>JournalArticle</b:SourceType>
    <b:Guid>{A492649A-7736-4548-A993-8E3D4F1A91AF}</b:Guid>
    <b:Author>
      <b:Author>
        <b:NameList>
          <b:Person>
            <b:Last>Fedyk</b:Last>
            <b:First>A.,</b:First>
            <b:Middle>Hodson, J., Khimich, N</b:Middle>
          </b:Person>
        </b:NameList>
      </b:Author>
    </b:Author>
    <b:Title>Is artificial intelligence improving the audit process?</b:Title>
    <b:JournalName>Review of Accounting Studies</b:JournalName>
    <b:Year>2022</b:Year>
    <b:Pages>938–985</b:Pages>
    <b:Volume>27</b:Volume>
    <b:Issue>(1)</b:Issue>
    <b:URL>https://doi.org/10.1007/s11142-022-09697-x</b:URL>
    <b:RefOrder>13</b:RefOrder>
  </b:Source>
  <b:Source>
    <b:Tag>IHS22</b:Tag>
    <b:SourceType>JournalArticle</b:SourceType>
    <b:Guid>{84DBCBE5-AEFE-4975-930D-1DE63BD640E3}</b:Guid>
    <b:Author>
      <b:Author>
        <b:NameList>
          <b:Person>
            <b:Last>Sarker</b:Last>
            <b:First>Iqbal</b:First>
            <b:Middle>H</b:Middle>
          </b:Person>
        </b:NameList>
      </b:Author>
    </b:Author>
    <b:Title>AI-Based Modeling: Techniques, Applications and Research Issues Towards Automation, Intelligent and Smart Systems</b:Title>
    <b:JournalName>SN Computer Science</b:JournalName>
    <b:Year>2022</b:Year>
    <b:Pages>158-176</b:Pages>
    <b:Volume>3</b:Volume>
    <b:Issue>(1)</b:Issue>
    <b:URL>https://doi.org/10.1007/s42979-022-01043-x</b:URL>
    <b:RefOrder>14</b:RefOrder>
  </b:Source>
  <b:Source>
    <b:Tag>Zah23</b:Tag>
    <b:SourceType>JournalArticle</b:SourceType>
    <b:Guid>{DDA7836C-DBCB-4684-A037-9AF8493BED72}</b:Guid>
    <b:Author>
      <b:Author>
        <b:NameList>
          <b:Person>
            <b:Last>Zahid Hasan</b:Last>
            <b:First>Daicy</b:First>
            <b:Middle>Vaz, Vidya S. Athota, Sop Sop Maturin Désiré, Vijay Pereira</b:Middle>
          </b:Person>
        </b:NameList>
      </b:Author>
    </b:Author>
    <b:Title>Can Artificial Intelligence (AI) Manage Behavioural Biases Among Financial Planners?</b:Title>
    <b:JournalName>Journal of Global Information Management</b:JournalName>
    <b:Year>2023</b:Year>
    <b:Pages>1-18</b:Pages>
    <b:Volume>3</b:Volume>
    <b:Issue>(12)</b:Issue>
    <b:URL>DOI: 10.4018/JGIM.321728</b:URL>
    <b:RefOrder>15</b:RefOrder>
  </b:Source>
  <b:Source>
    <b:Tag>Mil21</b:Tag>
    <b:SourceType>JournalArticle</b:SourceType>
    <b:Guid>{A0AB7635-BBB7-40F6-8FA8-CBE89D40F67A}</b:Guid>
    <b:Author>
      <b:Author>
        <b:NameList>
          <b:Person>
            <b:Last>Miltiadis D Lytras</b:Last>
            <b:First>Anna</b:First>
            <b:Middle>Visvizi</b:Middle>
          </b:Person>
        </b:NameList>
      </b:Author>
    </b:Author>
    <b:Title>Artificial Intelligence and Cognitive Computing: Methods,Technologies, Systems, Applications and Policy Making</b:Title>
    <b:JournalName>Sustainability</b:JournalName>
    <b:Year>2021</b:Year>
    <b:Pages>1-3</b:Pages>
    <b:Volume>13</b:Volume>
    <b:Issue>(7)</b:Issue>
    <b:URL>https://doi.org/10.3390/su13073598</b:URL>
    <b:RefOrder>16</b:RefOrder>
  </b:Source>
  <b:Source>
    <b:Tag>Sha231</b:Tag>
    <b:SourceType>JournalArticle</b:SourceType>
    <b:Guid>{4EED5342-FBF5-4991-B809-F9D25E88DA6D}</b:Guid>
    <b:Title>Impact of ERP usage on service differentiation: role of mediating effect of organizational agility</b:Title>
    <b:JournalName>Arab Gulf Journal of Scientific Research</b:JournalName>
    <b:Year>2023</b:Year>
    <b:Pages>359-375</b:Pages>
    <b:Author>
      <b:Author>
        <b:NameList>
          <b:Person>
            <b:Last>Shajrawi</b:Last>
            <b:First>A</b:First>
          </b:Person>
          <b:Person>
            <b:Last>Aburub</b:Last>
            <b:First>F</b:First>
          </b:Person>
        </b:NameList>
      </b:Author>
    </b:Author>
    <b:RefOrder>1</b:RefOrder>
  </b:Source>
  <b:Source>
    <b:Tag>Cic23</b:Tag>
    <b:SourceType>JournalArticle</b:SourceType>
    <b:Guid>{43E431FC-42E7-4328-BE78-DA0A48A54BD9}</b:Guid>
    <b:Title>Service differentiation and fair sharing in distributed quantum computing</b:Title>
    <b:JournalName>Pervasive and Mobile Computing</b:JournalName>
    <b:Year>2023</b:Year>
    <b:Pages>101758</b:Pages>
    <b:Author>
      <b:Author>
        <b:NameList>
          <b:Person>
            <b:Last>Cicconetti</b:Last>
            <b:First>C</b:First>
          </b:Person>
          <b:Person>
            <b:Last>Conti</b:Last>
            <b:First>M</b:First>
          </b:Person>
          <b:Person>
            <b:Last>Passarella</b:Last>
            <b:First>A</b:First>
          </b:Person>
        </b:NameList>
      </b:Author>
    </b:Author>
    <b:RefOrder>2</b:RefOrder>
  </b:Source>
  <b:Source>
    <b:Tag>Wen223</b:Tag>
    <b:SourceType>JournalArticle</b:SourceType>
    <b:Guid>{8D30B239-DAD2-4E4D-A2B2-6AD92A565F09}</b:Guid>
    <b:Title>Digitalization, competition strategy and corporate innovation: Evidence from Chinese manufacturing listed companies</b:Title>
    <b:JournalName>International Review of Financial Analysis</b:JournalName>
    <b:Year>2022</b:Year>
    <b:Pages>102166</b:Pages>
    <b:Author>
      <b:Author>
        <b:NameList>
          <b:Person>
            <b:Last>Wen</b:Last>
            <b:First>H</b:First>
          </b:Person>
          <b:Person>
            <b:Last>Zhong</b:Last>
            <b:First>Q</b:First>
          </b:Person>
          <b:Person>
            <b:Last>Lee</b:Last>
            <b:First>C.C</b:First>
          </b:Person>
        </b:NameList>
      </b:Author>
    </b:Author>
    <b:RefOrder>3</b:RefOrder>
  </b:Source>
  <b:Source>
    <b:Tag>Pei201</b:Tag>
    <b:SourceType>JournalArticle</b:SourceType>
    <b:Guid>{97286FD9-7657-4E13-81D5-9E32ED6E630D}</b:Guid>
    <b:Title>Does the effect of customer experience on customer satisfaction create a sustainable competitive advantage? A comparative study of different shopping situations</b:Title>
    <b:JournalName>Sustainability</b:JournalName>
    <b:Year>2020</b:Year>
    <b:Pages>7436</b:Pages>
    <b:Author>
      <b:Author>
        <b:NameList>
          <b:Person>
            <b:Last>Pei</b:Last>
            <b:First>X.L</b:First>
          </b:Person>
          <b:Person>
            <b:Last>Guo</b:Last>
            <b:First>J.N</b:First>
          </b:Person>
          <b:Person>
            <b:Last>Wu</b:Last>
            <b:First>T.J</b:First>
          </b:Person>
          <b:Person>
            <b:Last>Zhou</b:Last>
            <b:First>W.X</b:First>
          </b:Person>
          <b:Person>
            <b:Last>Yeh</b:Last>
            <b:First>S.P</b:First>
          </b:Person>
        </b:NameList>
      </b:Author>
    </b:Author>
    <b:RefOrder>4</b:RefOrder>
  </b:Source>
  <b:Source>
    <b:Tag>AlS201</b:Tag>
    <b:SourceType>JournalArticle</b:SourceType>
    <b:Guid>{E54DD527-9906-4172-8123-26178ABB9F52}</b:Guid>
    <b:Title>The impact of aligning business, IT, and marketing strategies on firm performance</b:Title>
    <b:JournalName>Industrial marketing management</b:JournalName>
    <b:Year>2020</b:Year>
    <b:Pages>39-49</b:Pages>
    <b:Author>
      <b:Author>
        <b:NameList>
          <b:Person>
            <b:Last>Al-Surmi</b:Last>
            <b:First>A</b:First>
          </b:Person>
          <b:Person>
            <b:Last>Cao</b:Last>
            <b:First>G</b:First>
          </b:Person>
          <b:Person>
            <b:Last>Duan</b:Last>
            <b:First>Y</b:First>
          </b:Person>
        </b:NameList>
      </b:Author>
    </b:Author>
    <b:RefOrder>5</b:RefOrder>
  </b:Source>
  <b:Source>
    <b:Tag>Akp22</b:Tag>
    <b:SourceType>JournalArticle</b:SourceType>
    <b:Guid>{9B603369-2FFA-47AF-B912-AD948036AD5E}</b:Guid>
    <b:Title>Small business awareness and adoption of state-of-the-art technologies in emerging and developing markets, and lessons from the COVID-19 pandemic</b:Title>
    <b:JournalName>Journal of Small Business &amp; Entrepreneurship</b:JournalName>
    <b:Year>2022</b:Year>
    <b:Pages>123-140</b:Pages>
    <b:Author>
      <b:Author>
        <b:NameList>
          <b:Person>
            <b:Last>Akpan</b:Last>
            <b:First>I.J</b:First>
          </b:Person>
          <b:Person>
            <b:Last>Udoh</b:Last>
            <b:First>E.A.P</b:First>
          </b:Person>
          <b:Person>
            <b:Last>Adebisi</b:Last>
            <b:First>B</b:First>
          </b:Person>
        </b:NameList>
      </b:Author>
    </b:Author>
    <b:RefOrder>6</b:RefOrder>
  </b:Source>
  <b:Source>
    <b:Tag>Qiu202</b:Tag>
    <b:SourceType>JournalArticle</b:SourceType>
    <b:Guid>{4E397505-33CD-44E3-99C5-B5B8BA48ACE2}</b:Guid>
    <b:Title>Green product innovation, green dynamic capability, and competitive advantage: Evidence from Chinese manufacturing enterprises</b:Title>
    <b:JournalName>Corporate Social Responsibility and Environmental Management</b:JournalName>
    <b:Year>2020</b:Year>
    <b:Pages>146-165</b:Pages>
    <b:Author>
      <b:Author>
        <b:NameList>
          <b:Person>
            <b:Last>Qiu</b:Last>
            <b:First>L</b:First>
          </b:Person>
          <b:Person>
            <b:Last>Jie</b:Last>
            <b:First>X</b:First>
          </b:Person>
          <b:Person>
            <b:Last>Wang</b:Last>
            <b:First>Y</b:First>
          </b:Person>
          <b:Person>
            <b:Last>Zhao</b:Last>
            <b:First>M</b:First>
          </b:Person>
        </b:NameList>
      </b:Author>
    </b:Author>
    <b:RefOrder>7</b:RefOrder>
  </b:Source>
  <b:Source>
    <b:Tag>Zha253</b:Tag>
    <b:SourceType>JournalArticle</b:SourceType>
    <b:Guid>{D840A821-F29A-4BB7-B669-D1ACE6F54505}</b:Guid>
    <b:Title>Executives’ ESG cognition, ESG responsibility fulfillment, and corporate competitive advantage: Evidence from China</b:Title>
    <b:JournalName>Finance Research Letters</b:JournalName>
    <b:Year>2025</b:Year>
    <b:Pages>107724</b:Pages>
    <b:Author>
      <b:Author>
        <b:NameList>
          <b:Person>
            <b:Last>Zhang</b:Last>
            <b:First>Z</b:First>
          </b:Person>
          <b:Person>
            <b:Last>Cheng</b:Last>
            <b:First>J</b:First>
          </b:Person>
          <b:Person>
            <b:Last>Xu</b:Last>
            <b:First>Y</b:First>
          </b:Person>
        </b:NameList>
      </b:Author>
    </b:Author>
    <b:RefOrder>8</b:RefOrder>
  </b:Source>
  <b:Source>
    <b:Tag>Pus204</b:Tag>
    <b:SourceType>JournalArticle</b:SourceType>
    <b:Guid>{8788E4A5-2B50-45B0-B542-BFC22ABE60B4}</b:Guid>
    <b:Title>Market orientation, competitive advantage and marketing performance of small medium enterprises (SMEs)</b:Title>
    <b:JournalName>Journal of Economics, Business, and Accountancy Ventura</b:JournalName>
    <b:Year>2020</b:Year>
    <b:Pages>19-27</b:Pages>
    <b:Author>
      <b:Author>
        <b:NameList>
          <b:Person>
            <b:Last>Puspaningrum</b:Last>
            <b:First>A</b:First>
          </b:Person>
        </b:NameList>
      </b:Author>
    </b:Author>
    <b:RefOrder>9</b:RefOrder>
  </b:Source>
  <b:Source>
    <b:Tag>Nay231</b:Tag>
    <b:SourceType>JournalArticle</b:SourceType>
    <b:Guid>{A7AF1C58-6600-4A91-BC5E-8751E75AFA5C}</b:Guid>
    <b:Title>Integrating the dialectic perspectives of resource-based view and industrial organization theory for competitive advantage–a review and research agenda</b:Title>
    <b:JournalName>Journal of Business &amp; Industrial Marketing</b:JournalName>
    <b:Year>2023</b:Year>
    <b:Pages>656-679</b:Pages>
    <b:Author>
      <b:Author>
        <b:NameList>
          <b:Person>
            <b:Last>Nayak</b:Last>
            <b:First>B</b:First>
          </b:Person>
          <b:Person>
            <b:Last>Bhattacharyya</b:Last>
            <b:First>S.S</b:First>
          </b:Person>
          <b:Person>
            <b:Last>Krishnamoorthy</b:Last>
            <b:First>B</b:First>
          </b:Person>
        </b:NameList>
      </b:Author>
    </b:Author>
    <b:RefOrder>10</b:RefOrder>
  </b:Source>
  <b:Source>
    <b:Tag>Wen224</b:Tag>
    <b:SourceType>JournalArticle</b:SourceType>
    <b:Guid>{F6D2D1E3-B02B-4292-ACD0-60D12B7EF16C}</b:Guid>
    <b:Title>Digitalization, competition strategy and corporate innovation: Evidence from Chinese manufacturing listed companies</b:Title>
    <b:JournalName>International Review of Financial Analysis</b:JournalName>
    <b:Year>2022</b:Year>
    <b:Pages>102166</b:Pages>
    <b:Author>
      <b:Author>
        <b:NameList>
          <b:Person>
            <b:Last>Wen</b:Last>
            <b:First>H</b:First>
          </b:Person>
          <b:Person>
            <b:Last>Zhong</b:Last>
            <b:First>Q</b:First>
          </b:Person>
          <b:Person>
            <b:Last>Lee</b:Last>
            <b:First>C.C</b:First>
          </b:Person>
        </b:NameList>
      </b:Author>
    </b:Author>
    <b:RefOrder>11</b:RefOrder>
  </b:Source>
  <b:Source>
    <b:Tag>LiF212</b:Tag>
    <b:SourceType>JournalArticle</b:SourceType>
    <b:Guid>{0E87D2BA-D4EB-4537-BF7B-5477F504C6BF}</b:Guid>
    <b:Title>Can low-carbon technological innovation truly improve enterprise performance? The case of Chinese manufacturing companies</b:Title>
    <b:JournalName>Journal of Cleaner Production</b:JournalName>
    <b:Year>2021</b:Year>
    <b:Pages>125949</b:Pages>
    <b:Author>
      <b:Author>
        <b:NameList>
          <b:Person>
            <b:Last>Li</b:Last>
            <b:First>F</b:First>
          </b:Person>
          <b:Person>
            <b:Last>Xu</b:Last>
            <b:First>X</b:First>
          </b:Person>
          <b:Person>
            <b:Last>Li</b:Last>
            <b:First>Z</b:First>
          </b:Person>
          <b:Person>
            <b:Last>Du</b:Last>
            <b:First>P</b:First>
          </b:Person>
          <b:Person>
            <b:Last>Ye</b:Last>
            <b:First>J</b:First>
          </b:Person>
        </b:NameList>
      </b:Author>
    </b:Author>
    <b:RefOrder>12</b:RefOrder>
  </b:Source>
  <b:Source>
    <b:Tag>Fab221</b:Tag>
    <b:SourceType>JournalArticle</b:SourceType>
    <b:Guid>{D3FB87C9-3731-4274-8287-9B36ECAF7D5A}</b:Guid>
    <b:Title>Competitive advantage and dynamic capability in small and medium-sized enterprises: a systematic literature review and future research directions</b:Title>
    <b:JournalName>Review of Managerial Science</b:JournalName>
    <b:Year>2022</b:Year>
    <b:Pages>617-648</b:Pages>
    <b:Author>
      <b:Author>
        <b:NameList>
          <b:Person>
            <b:Last>Fabrizio</b:Last>
            <b:First>C.M</b:First>
          </b:Person>
          <b:Person>
            <b:Last>Kaczam</b:Last>
            <b:First>F</b:First>
          </b:Person>
          <b:Person>
            <b:Last>de Moura</b:Last>
            <b:First>G.L</b:First>
          </b:Person>
          <b:Person>
            <b:Last>da Silva</b:Last>
            <b:First>L.S.C.V</b:First>
          </b:Person>
          <b:Person>
            <b:Last>da Silva</b:Last>
            <b:First>W.V</b:First>
          </b:Person>
          <b:Person>
            <b:Last>da Veiga</b:Last>
            <b:First>C.P</b:First>
          </b:Person>
        </b:NameList>
      </b:Author>
    </b:Author>
    <b:RefOrder>13</b:RefOrder>
  </b:Source>
  <b:Source>
    <b:Tag>Nar201</b:Tag>
    <b:SourceType>JournalArticle</b:SourceType>
    <b:Guid>{156D1524-349B-4F3D-97AC-C482DC548587}</b:Guid>
    <b:Title>A review of global challenges and survival strategies of small and medium enterprises (SMEs)</b:Title>
    <b:JournalName>Economies</b:JournalName>
    <b:Year>2020</b:Year>
    <b:Pages>79</b:Pages>
    <b:Author>
      <b:Author>
        <b:NameList>
          <b:Person>
            <b:Last>Naradda Gamage</b:Last>
            <b:First>S.K</b:First>
          </b:Person>
          <b:Person>
            <b:Last>Ekanayake</b:Last>
            <b:First>E.M.S</b:First>
          </b:Person>
          <b:Person>
            <b:Last>Abeyrathne</b:Last>
            <b:First>G.A.K.N.J</b:First>
          </b:Person>
          <b:Person>
            <b:Last>Prasanna</b:Last>
            <b:First>R.P.I.R</b:First>
          </b:Person>
          <b:Person>
            <b:Last>Jayasundara</b:Last>
            <b:First>J.M.S.B</b:First>
          </b:Person>
          <b:Person>
            <b:Last>Rajapakshe</b:Last>
            <b:First>P.S.K</b:First>
          </b:Person>
        </b:NameList>
      </b:Author>
    </b:Author>
    <b:RefOrder>14</b:RefOrder>
  </b:Source>
  <b:Source>
    <b:Tag>Maz202</b:Tag>
    <b:SourceType>JournalArticle</b:SourceType>
    <b:Guid>{34943354-E168-4014-B156-19A5749BCF9A}</b:Guid>
    <b:Title>Green packaging and green advertising as precursors of competitive advantage and business performance among manufacturing small and medium enterprises in South Africa</b:Title>
    <b:JournalName>Cogent Business &amp; Management</b:JournalName>
    <b:Year>2020</b:Year>
    <b:Pages>1719586</b:Pages>
    <b:Author>
      <b:Author>
        <b:NameList>
          <b:Person>
            <b:Last>Maziriri</b:Last>
            <b:First>E.T</b:First>
          </b:Person>
        </b:NameList>
      </b:Author>
    </b:Author>
    <b:RefOrder>15</b:RefOrder>
  </b:Source>
  <b:Source>
    <b:Tag>Var20</b:Tag>
    <b:SourceType>JournalArticle</b:SourceType>
    <b:Guid>{FCD55AF5-3C2C-4780-AD90-8A82FCAB6E23}</b:Guid>
    <b:Title>Customer information resources advantage, marketing strategy and business performance: A market resources based view</b:Title>
    <b:JournalName>Industrial marketing management</b:JournalName>
    <b:Year>2020</b:Year>
    <b:Pages>89-97</b:Pages>
    <b:Author>
      <b:Author>
        <b:NameList>
          <b:Person>
            <b:Last>Varadarajan</b:Last>
            <b:First>R</b:First>
          </b:Person>
        </b:NameList>
      </b:Author>
    </b:Author>
    <b:RefOrder>1</b:RefOrder>
  </b:Source>
  <b:Source>
    <b:Tag>Cho241</b:Tag>
    <b:SourceType>JournalArticle</b:SourceType>
    <b:Guid>{4DD5F9B2-29A4-4372-B7C2-17C70EA037BD}</b:Guid>
    <b:Title>Generative artificial intelligence in business: towards a strategic human resource management framework</b:Title>
    <b:JournalName>British Journal of Management</b:JournalName>
    <b:Year>2024</b:Year>
    <b:Pages>1680-1691</b:Pages>
    <b:Author>
      <b:Author>
        <b:NameList>
          <b:Person>
            <b:Last>Chowdhury</b:Last>
            <b:First>S</b:First>
          </b:Person>
          <b:Person>
            <b:Last>Budhwar</b:Last>
            <b:First>P</b:First>
          </b:Person>
          <b:Person>
            <b:Last>Wood</b:Last>
            <b:First>G</b:First>
          </b:Person>
        </b:NameList>
      </b:Author>
    </b:Author>
    <b:RefOrder>2</b:RefOrder>
  </b:Source>
  <b:Source>
    <b:Tag>Zam202</b:Tag>
    <b:SourceType>JournalArticle</b:SourceType>
    <b:Guid>{7E822347-2BD8-466D-B55F-A69F7899BA16}</b:Guid>
    <b:Title>Reinforcing green competitive advantage through green production, creativity and green brand image: Implications for cleaner production in China</b:Title>
    <b:JournalName>Journal of cleaner production</b:JournalName>
    <b:Year>2020</b:Year>
    <b:Pages>119119</b:Pages>
    <b:Author>
      <b:Author>
        <b:NameList>
          <b:Person>
            <b:Last>Zameer</b:Last>
            <b:First>H</b:First>
          </b:Person>
          <b:Person>
            <b:Last>Wang</b:Last>
            <b:First>Y</b:First>
          </b:Person>
          <b:Person>
            <b:Last>Yasmeen</b:Last>
            <b:First>H</b:First>
          </b:Person>
        </b:NameList>
      </b:Author>
    </b:Author>
    <b:RefOrder>3</b:RefOrder>
  </b:Source>
  <b:Source>
    <b:Tag>Hua215</b:Tag>
    <b:SourceType>JournalArticle</b:SourceType>
    <b:Guid>{C3973847-E42E-43D7-94E9-5B53D3BEC3D6}</b:Guid>
    <b:Title>Data access as a big competitive advantage: evidence from China's car-hailing platforms</b:Title>
    <b:JournalName>Data Technologies and Applications</b:JournalName>
    <b:Year>2021</b:Year>
    <b:Pages>192-215</b:Pages>
    <b:Author>
      <b:Author>
        <b:NameList>
          <b:Person>
            <b:Last>Huang</b:Last>
            <b:First>L</b:First>
          </b:Person>
          <b:Person>
            <b:Last>Zhao</b:Last>
            <b:First>Y</b:First>
          </b:Person>
          <b:Person>
            <b:Last>He</b:Last>
            <b:First>G</b:First>
          </b:Person>
          <b:Person>
            <b:Last>Lu</b:Last>
            <b:First>Y</b:First>
          </b:Person>
          <b:Person>
            <b:Last>Zhang</b:Last>
            <b:First>J</b:First>
          </b:Person>
          <b:Person>
            <b:Last>Wu</b:Last>
            <b:First>P</b:First>
          </b:Person>
        </b:NameList>
      </b:Author>
    </b:Author>
    <b:RefOrder>4</b:RefOrder>
  </b:Source>
  <b:Source>
    <b:Tag>Jab201</b:Tag>
    <b:SourceType>JournalArticle</b:SourceType>
    <b:Guid>{DDC1B64F-BC15-4706-BFB0-C416DFC4C342}</b:Guid>
    <b:Title>Real-time big data processing for instantaneous marketing decisions: A problematization approach</b:Title>
    <b:JournalName>Industrial Marketing Management</b:JournalName>
    <b:Year>2020</b:Year>
    <b:Pages>558-569</b:Pages>
    <b:Author>
      <b:Author>
        <b:NameList>
          <b:Person>
            <b:Last>Jabbar</b:Last>
            <b:First>A</b:First>
          </b:Person>
          <b:Person>
            <b:Last>Akhtar</b:Last>
            <b:First>P</b:First>
          </b:Person>
          <b:Person>
            <b:Last>Dani</b:Last>
            <b:First>S</b:First>
          </b:Person>
        </b:NameList>
      </b:Author>
    </b:Author>
    <b:RefOrder>5</b:RefOrder>
  </b:Source>
  <b:Source>
    <b:Tag>Saf20</b:Tag>
    <b:SourceType>JournalArticle</b:SourceType>
    <b:Guid>{ED6083B1-2E60-4E01-B082-74BD0F0F0052}</b:Guid>
    <b:Title>Key determinants of SMEs’ export performance: a resource-based view and contingency theory approach using potential mediators</b:Title>
    <b:JournalName>Journal of Business &amp; Industrial Marketing</b:JournalName>
    <b:Year>2020</b:Year>
    <b:Pages>635-654</b:Pages>
    <b:Author>
      <b:Author>
        <b:NameList>
          <b:Person>
            <b:Last>Safari</b:Last>
            <b:First>A</b:First>
          </b:Person>
          <b:Person>
            <b:Last>Saleh</b:Last>
            <b:First>A.S</b:First>
          </b:Person>
        </b:NameList>
      </b:Author>
    </b:Author>
    <b:RefOrder>6</b:RefOrder>
  </b:Source>
  <b:Source>
    <b:Tag>Che216</b:Tag>
    <b:SourceType>JournalArticle</b:SourceType>
    <b:Guid>{6950BCF3-E75A-45E5-BB75-A1E92D749007}</b:Guid>
    <b:Title>Business intelligence capabilities and firm performance: A study in China</b:Title>
    <b:JournalName>International journal of information management</b:JournalName>
    <b:Year>2021</b:Year>
    <b:Pages>102232</b:Pages>
    <b:Author>
      <b:Author>
        <b:NameList>
          <b:Person>
            <b:Last>Chen</b:Last>
            <b:First>Y</b:First>
          </b:Person>
          <b:Person>
            <b:Last>Lin</b:Last>
            <b:First>Z</b:First>
          </b:Person>
        </b:NameList>
      </b:Author>
    </b:Author>
    <b:RefOrder>7</b:RefOrder>
  </b:Source>
  <b:Source>
    <b:Tag>Num201</b:Tag>
    <b:SourceType>JournalArticle</b:SourceType>
    <b:Guid>{A348B651-85A9-4045-9561-2B5A415E47A1}</b:Guid>
    <b:Title>Social Networking, and firm performance: Mediating role of comparative advantage and sustainable supply chain</b:Title>
    <b:JournalName>International Journal of Supply Chain Management</b:JournalName>
    <b:Year>2020</b:Year>
    <b:Author>
      <b:Author>
        <b:NameList>
          <b:Person>
            <b:Last>Nu'man</b:Last>
            <b:First>A.H</b:First>
          </b:Person>
          <b:Person>
            <b:Last>Nurwandi</b:Last>
            <b:First>L</b:First>
          </b:Person>
          <b:Person>
            <b:Last>Bachtiar</b:Last>
            <b:First>I</b:First>
          </b:Person>
          <b:Person>
            <b:Last>Aspiranti</b:Last>
            <b:First>T</b:First>
          </b:Person>
          <b:Person>
            <b:Last>Pratama</b:Last>
            <b:First>I</b:First>
          </b:Person>
        </b:NameList>
      </b:Author>
    </b:Author>
    <b:RefOrder>8</b:RefOrder>
  </b:Source>
  <b:Source>
    <b:Tag>Ola231</b:Tag>
    <b:SourceType>JournalArticle</b:SourceType>
    <b:Guid>{FDB19AD8-E666-47CD-A0DD-2CA0C489DB8A}</b:Guid>
    <b:Title>Marketing competency, marketing innovation and sustainable competitive advantage of small and medium enterprises (SMEs): a mixed-method analysis</b:Title>
    <b:JournalName>Asia Pacific Journal of Marketing and Logistics</b:JournalName>
    <b:Year>2023</b:Year>
    <b:Pages>890-907</b:Pages>
    <b:Author>
      <b:Author>
        <b:NameList>
          <b:Person>
            <b:Last>Olazo</b:Last>
            <b:First>D.B</b:First>
          </b:Person>
        </b:NameList>
      </b:Author>
    </b:Author>
    <b:RefOrder>9</b:RefOrder>
  </b:Source>
  <b:Source>
    <b:Tag>WuQ231</b:Tag>
    <b:SourceType>JournalArticle</b:SourceType>
    <b:Guid>{569A539B-C0DF-48B3-A06C-389034B30D53}</b:Guid>
    <b:Title>Assessing the role of competitive intelligence and practices of dynamic capabilities in business accommodation of SMEs</b:Title>
    <b:JournalName>Economic Analysis and Policy</b:JournalName>
    <b:Year>2023</b:Year>
    <b:Pages>1103-1114</b:Pages>
    <b:Author>
      <b:Author>
        <b:NameList>
          <b:Person>
            <b:Last>Wu</b:Last>
            <b:First>Q</b:First>
          </b:Person>
          <b:Person>
            <b:Last>Yan</b:Last>
            <b:First>D</b:First>
          </b:Person>
          <b:Person>
            <b:Last>Umair</b:Last>
            <b:First>M</b:First>
          </b:Person>
        </b:NameList>
      </b:Author>
    </b:Author>
    <b:RefOrder>10</b:RefOrder>
  </b:Source>
  <b:Source>
    <b:Tag>Wan2013</b:Tag>
    <b:SourceType>JournalArticle</b:SourceType>
    <b:Guid>{4FB1A114-85EA-471F-869F-B1ED367909C1}</b:Guid>
    <b:Title>Marketing innovations during a global crisis: A study of China firms’ response to COVID-19</b:Title>
    <b:JournalName>Journal of business research</b:JournalName>
    <b:Year>2020</b:Year>
    <b:Pages>214-220</b:Pages>
    <b:Author>
      <b:Author>
        <b:NameList>
          <b:Person>
            <b:Last>Wang</b:Last>
            <b:First>Y</b:First>
          </b:Person>
          <b:Person>
            <b:Last>Hong</b:Last>
            <b:First>A</b:First>
          </b:Person>
          <b:Person>
            <b:Last>Li</b:Last>
            <b:First>X</b:First>
          </b:Person>
          <b:Person>
            <b:Last>Gao</b:Last>
            <b:First>J</b:First>
          </b:Person>
        </b:NameList>
      </b:Author>
    </b:Author>
    <b:RefOrder>11</b:RefOrder>
  </b:Source>
  <b:Source>
    <b:Tag>Sun221</b:Tag>
    <b:SourceType>ConferenceProceedings</b:SourceType>
    <b:Guid>{C80EEF90-170E-4E26-B763-823E6C8B0D1B}</b:Guid>
    <b:Title>Marketing Strategies for Chinese and Foreign Small and Medium-sized Enterprises: Enterprise Innovation</b:Title>
    <b:Year>2022</b:Year>
    <b:Pages>640-649</b:Pages>
    <b:Author>
      <b:Author>
        <b:NameList>
          <b:Person>
            <b:Last>Sun</b:Last>
            <b:First>Y</b:First>
          </b:Person>
        </b:NameList>
      </b:Author>
    </b:Author>
    <b:ConferenceName>2022 4th International Conference on Economic Management and Cultural Industry (ICEMCI 2022)</b:ConferenceName>
    <b:Publisher>Atlantis Press</b:Publisher>
    <b:RefOrder>12</b:RefOrder>
  </b:Source>
  <b:Source>
    <b:Tag>Zul211</b:Tag>
    <b:SourceType>JournalArticle</b:SourceType>
    <b:Guid>{C151E4A6-D6F1-46CC-AFB7-C0765244F7F0}</b:Guid>
    <b:Title>Small and medium enterprises (SMEs) competing in the global business environment: A case of Malaysia</b:Title>
    <b:Year>2021</b:Year>
    <b:Author>
      <b:Author>
        <b:NameList>
          <b:Person>
            <b:Last>Zulkifli-Muhammad</b:Last>
            <b:First>M</b:First>
          </b:Person>
          <b:Person>
            <b:Last>Char</b:Last>
            <b:First>A.K</b:First>
          </b:Person>
          <b:Person>
            <b:Last>bin Yasoa</b:Last>
            <b:First>M.R</b:First>
          </b:Person>
          <b:Person>
            <b:Last>Hassan</b:Last>
            <b:First>Z</b:First>
          </b:Person>
        </b:NameList>
      </b:Author>
    </b:Author>
    <b:JournalName>International business research</b:JournalName>
    <b:RefOrder>13</b:RefOrder>
  </b:Source>
  <b:Source>
    <b:Tag>TuY211</b:Tag>
    <b:SourceType>JournalArticle</b:SourceType>
    <b:Guid>{C252FA17-7AE9-4A5B-B15E-921415F3C87F}</b:Guid>
    <b:Title>How does green innovation improve enterprises’ competitive advantage? The role of organizational learning</b:Title>
    <b:JournalName>Sustainable Production and Consumption</b:JournalName>
    <b:Year>2021</b:Year>
    <b:Pages>504-516</b:Pages>
    <b:Author>
      <b:Author>
        <b:NameList>
          <b:Person>
            <b:Last>Tu</b:Last>
            <b:First>Y</b:First>
          </b:Person>
          <b:Person>
            <b:Last>Wu</b:Last>
            <b:First>W</b:First>
          </b:Person>
        </b:NameList>
      </b:Author>
    </b:Author>
    <b:RefOrder>14</b:RefOrder>
  </b:Source>
  <b:Source>
    <b:Tag>Han22</b:Tag>
    <b:SourceType>JournalArticle</b:SourceType>
    <b:Guid>{3D9F7521-53E3-4A06-A84F-57812689010C}</b:Guid>
    <b:Title>Strategic orientation, business model innovation and corporate performance—Evidence from construction industry</b:Title>
    <b:JournalName>Frontiers in Psychology</b:JournalName>
    <b:Year>2022</b:Year>
    <b:Pages>971654</b:Pages>
    <b:Author>
      <b:Author>
        <b:NameList>
          <b:Person>
            <b:Last>Han</b:Last>
            <b:First>W</b:First>
          </b:Person>
          <b:Person>
            <b:Last>Zhou</b:Last>
            <b:First>Y</b:First>
          </b:Person>
          <b:Person>
            <b:Last>Lu</b:Last>
            <b:First>R</b:First>
          </b:Person>
        </b:NameList>
      </b:Author>
    </b:Author>
    <b:RefOrder>15</b:RefOrder>
  </b:Source>
</b:Sources>
</file>

<file path=customXml/itemProps1.xml><?xml version="1.0" encoding="utf-8"?>
<ds:datastoreItem xmlns:ds="http://schemas.openxmlformats.org/officeDocument/2006/customXml" ds:itemID="{5944F0AD-89BD-4812-A7C4-19E045B80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7225</Words>
  <Characters>41183</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Uma Sankar</dc:creator>
  <cp:lastModifiedBy>Aniket Rajbhar</cp:lastModifiedBy>
  <cp:revision>8</cp:revision>
  <dcterms:created xsi:type="dcterms:W3CDTF">2025-11-05T14:45:00Z</dcterms:created>
  <dcterms:modified xsi:type="dcterms:W3CDTF">2025-11-05T15:00:00Z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59a2cb7c-145c-4563-b1dd-1367df9c2561</vt:lpwstr>
  </property>
  <property fmtid="{D5CDD505-2E9C-101B-9397-08002B2CF9AE}" pid="3" name="KSOProductBuildVer">
    <vt:lpwstr>1033-12.2.0.22549</vt:lpwstr>
  </property>
  <property fmtid="{D5CDD505-2E9C-101B-9397-08002B2CF9AE}" pid="4" name="ICV">
    <vt:lpwstr>AC81C217D4E841FDADEDC3843BB3C0DE_12</vt:lpwstr>
  </property>
</Properties>
</file>